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036" w:type="dxa"/>
        <w:tblInd w:w="-28" w:type="dxa"/>
        <w:tblLook w:val="01E0" w:firstRow="1" w:lastRow="1" w:firstColumn="1" w:lastColumn="1" w:noHBand="0" w:noVBand="0"/>
      </w:tblPr>
      <w:tblGrid>
        <w:gridCol w:w="9036"/>
      </w:tblGrid>
      <w:tr w:rsidR="000543FD" w:rsidRPr="000543FD" w:rsidTr="008D389B">
        <w:tc>
          <w:tcPr>
            <w:tcW w:w="9036" w:type="dxa"/>
          </w:tcPr>
          <w:p w:rsidR="000543FD" w:rsidRPr="000543FD" w:rsidRDefault="000543FD" w:rsidP="000543FD">
            <w:pPr>
              <w:spacing w:after="0" w:line="360" w:lineRule="auto"/>
              <w:jc w:val="both"/>
              <w:rPr>
                <w:rFonts w:ascii="David" w:eastAsia="Times New Roman" w:hAnsi="David" w:cs="David"/>
                <w:b/>
                <w:bCs/>
                <w:sz w:val="24"/>
                <w:szCs w:val="24"/>
                <w:rtl/>
              </w:rPr>
            </w:pPr>
            <w:bookmarkStart w:id="0" w:name="_GoBack"/>
            <w:bookmarkEnd w:id="0"/>
            <w:r w:rsidRPr="000543FD">
              <w:rPr>
                <w:rFonts w:ascii="David" w:eastAsia="Times New Roman" w:hAnsi="David" w:cs="David" w:hint="cs"/>
                <w:b/>
                <w:bCs/>
                <w:sz w:val="24"/>
                <w:szCs w:val="24"/>
                <w:rtl/>
              </w:rPr>
              <w:t>ב</w:t>
            </w:r>
            <w:r w:rsidRPr="000543FD">
              <w:rPr>
                <w:rFonts w:ascii="David" w:eastAsia="Times New Roman" w:hAnsi="David" w:cs="David"/>
                <w:b/>
                <w:bCs/>
                <w:sz w:val="24"/>
                <w:szCs w:val="24"/>
                <w:rtl/>
              </w:rPr>
              <w:t>פני כבוד השופטים ח' מאק-קלמנוביץ, מ' ליפשיץ-פריבס, מ' כדורי</w:t>
            </w:r>
          </w:p>
          <w:tbl>
            <w:tblPr>
              <w:bidiVisual/>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gridCol w:w="4219"/>
              <w:gridCol w:w="3708"/>
            </w:tblGrid>
            <w:tr w:rsidR="000543FD" w:rsidRPr="000543FD" w:rsidTr="008D389B">
              <w:trPr>
                <w:trHeight w:val="355"/>
                <w:jc w:val="center"/>
              </w:trPr>
              <w:tc>
                <w:tcPr>
                  <w:tcW w:w="893" w:type="dxa"/>
                  <w:tcBorders>
                    <w:top w:val="nil"/>
                    <w:left w:val="nil"/>
                    <w:bottom w:val="nil"/>
                    <w:right w:val="nil"/>
                  </w:tcBorders>
                </w:tcPr>
                <w:p w:rsidR="000543FD" w:rsidRPr="000543FD" w:rsidRDefault="000543FD" w:rsidP="000543FD">
                  <w:pPr>
                    <w:spacing w:after="0" w:line="240" w:lineRule="auto"/>
                    <w:jc w:val="both"/>
                    <w:rPr>
                      <w:rFonts w:ascii="David" w:eastAsia="Times New Roman" w:hAnsi="David" w:cs="David"/>
                      <w:b/>
                      <w:bCs/>
                      <w:sz w:val="26"/>
                      <w:szCs w:val="26"/>
                      <w:rtl/>
                    </w:rPr>
                  </w:pPr>
                </w:p>
                <w:p w:rsidR="000543FD" w:rsidRPr="000543FD" w:rsidRDefault="000543FD" w:rsidP="000543FD">
                  <w:pPr>
                    <w:spacing w:after="0" w:line="240" w:lineRule="auto"/>
                    <w:jc w:val="both"/>
                    <w:rPr>
                      <w:rFonts w:ascii="David" w:eastAsia="Times New Roman" w:hAnsi="David" w:cs="David"/>
                      <w:b/>
                      <w:bCs/>
                      <w:sz w:val="26"/>
                      <w:szCs w:val="26"/>
                    </w:rPr>
                  </w:pPr>
                  <w:r w:rsidRPr="000543FD">
                    <w:rPr>
                      <w:rFonts w:ascii="David" w:eastAsia="Times New Roman" w:hAnsi="David" w:cs="David"/>
                      <w:b/>
                      <w:bCs/>
                      <w:sz w:val="26"/>
                      <w:szCs w:val="26"/>
                      <w:rtl/>
                    </w:rPr>
                    <w:t>בעניין:</w:t>
                  </w:r>
                </w:p>
              </w:tc>
              <w:tc>
                <w:tcPr>
                  <w:tcW w:w="4219" w:type="dxa"/>
                  <w:tcBorders>
                    <w:top w:val="nil"/>
                    <w:left w:val="nil"/>
                    <w:bottom w:val="nil"/>
                    <w:right w:val="nil"/>
                  </w:tcBorders>
                </w:tcPr>
                <w:p w:rsidR="000543FD" w:rsidRPr="000543FD" w:rsidRDefault="000543FD" w:rsidP="000543FD">
                  <w:pPr>
                    <w:spacing w:after="0" w:line="240" w:lineRule="auto"/>
                    <w:rPr>
                      <w:rFonts w:ascii="David" w:eastAsia="Times New Roman" w:hAnsi="David" w:cs="David"/>
                      <w:b/>
                      <w:bCs/>
                      <w:sz w:val="26"/>
                      <w:szCs w:val="26"/>
                      <w:rtl/>
                    </w:rPr>
                  </w:pPr>
                </w:p>
                <w:p w:rsidR="000543FD" w:rsidRPr="000543FD" w:rsidRDefault="000543FD" w:rsidP="000543FD">
                  <w:pPr>
                    <w:spacing w:after="0" w:line="240" w:lineRule="auto"/>
                    <w:rPr>
                      <w:rFonts w:ascii="David" w:eastAsia="Times New Roman" w:hAnsi="David" w:cs="David"/>
                      <w:sz w:val="26"/>
                      <w:szCs w:val="26"/>
                      <w:rtl/>
                    </w:rPr>
                  </w:pPr>
                  <w:r w:rsidRPr="000543FD">
                    <w:rPr>
                      <w:rFonts w:ascii="David" w:eastAsia="Times New Roman" w:hAnsi="David" w:cs="David"/>
                      <w:b/>
                      <w:bCs/>
                      <w:sz w:val="26"/>
                      <w:szCs w:val="26"/>
                      <w:rtl/>
                    </w:rPr>
                    <w:t>מדינת ישראל</w:t>
                  </w:r>
                  <w:r w:rsidRPr="000543FD">
                    <w:rPr>
                      <w:rFonts w:ascii="David" w:eastAsia="Times New Roman" w:hAnsi="David" w:cs="David"/>
                      <w:sz w:val="26"/>
                      <w:szCs w:val="26"/>
                      <w:rtl/>
                    </w:rPr>
                    <w:t xml:space="preserve"> </w:t>
                  </w:r>
                </w:p>
                <w:p w:rsidR="000543FD" w:rsidRPr="000543FD" w:rsidRDefault="000543FD" w:rsidP="000543FD">
                  <w:pPr>
                    <w:spacing w:after="0" w:line="240" w:lineRule="auto"/>
                    <w:rPr>
                      <w:rFonts w:ascii="Arial" w:eastAsia="Times New Roman" w:hAnsi="Arial" w:cs="David"/>
                      <w:sz w:val="26"/>
                      <w:szCs w:val="26"/>
                      <w:rtl/>
                    </w:rPr>
                  </w:pPr>
                  <w:r w:rsidRPr="000543FD">
                    <w:rPr>
                      <w:rFonts w:ascii="Arial" w:eastAsia="Times New Roman" w:hAnsi="Arial" w:cs="David"/>
                      <w:sz w:val="26"/>
                      <w:szCs w:val="26"/>
                      <w:rtl/>
                    </w:rPr>
                    <w:t xml:space="preserve">ע"י ב"כ עוה"ד אביעד דוויק </w:t>
                  </w:r>
                </w:p>
                <w:p w:rsidR="000543FD" w:rsidRPr="000543FD" w:rsidRDefault="000543FD" w:rsidP="000543FD">
                  <w:pPr>
                    <w:spacing w:after="0" w:line="240" w:lineRule="auto"/>
                    <w:rPr>
                      <w:rFonts w:ascii="David" w:eastAsia="Times New Roman" w:hAnsi="David" w:cs="David"/>
                      <w:b/>
                      <w:bCs/>
                      <w:sz w:val="26"/>
                      <w:szCs w:val="26"/>
                      <w:rtl/>
                    </w:rPr>
                  </w:pPr>
                  <w:r w:rsidRPr="000543FD">
                    <w:rPr>
                      <w:rFonts w:ascii="Arial" w:eastAsia="Times New Roman" w:hAnsi="Arial" w:cs="David"/>
                      <w:sz w:val="26"/>
                      <w:szCs w:val="26"/>
                      <w:rtl/>
                    </w:rPr>
                    <w:t>מפרקליטות מחוז ירושלים-פלילי</w:t>
                  </w:r>
                </w:p>
              </w:tc>
              <w:tc>
                <w:tcPr>
                  <w:tcW w:w="3708" w:type="dxa"/>
                  <w:tcBorders>
                    <w:top w:val="nil"/>
                    <w:left w:val="nil"/>
                    <w:bottom w:val="nil"/>
                    <w:right w:val="nil"/>
                  </w:tcBorders>
                </w:tcPr>
                <w:p w:rsidR="000543FD" w:rsidRPr="000543FD" w:rsidRDefault="000543FD" w:rsidP="000543FD">
                  <w:pPr>
                    <w:spacing w:after="0" w:line="240" w:lineRule="auto"/>
                    <w:jc w:val="both"/>
                    <w:rPr>
                      <w:rFonts w:ascii="David" w:eastAsia="Times New Roman" w:hAnsi="David" w:cs="David"/>
                      <w:b/>
                      <w:bCs/>
                      <w:sz w:val="26"/>
                      <w:szCs w:val="26"/>
                      <w:rtl/>
                    </w:rPr>
                  </w:pPr>
                </w:p>
              </w:tc>
            </w:tr>
            <w:tr w:rsidR="000543FD" w:rsidRPr="000543FD" w:rsidTr="008D389B">
              <w:trPr>
                <w:trHeight w:val="355"/>
                <w:jc w:val="center"/>
              </w:trPr>
              <w:tc>
                <w:tcPr>
                  <w:tcW w:w="893" w:type="dxa"/>
                  <w:tcBorders>
                    <w:top w:val="nil"/>
                    <w:left w:val="nil"/>
                    <w:bottom w:val="nil"/>
                    <w:right w:val="nil"/>
                  </w:tcBorders>
                </w:tcPr>
                <w:p w:rsidR="000543FD" w:rsidRPr="000543FD" w:rsidRDefault="000543FD" w:rsidP="000543FD">
                  <w:pPr>
                    <w:spacing w:after="0" w:line="240" w:lineRule="auto"/>
                    <w:jc w:val="both"/>
                    <w:rPr>
                      <w:rFonts w:ascii="David" w:eastAsia="Times New Roman" w:hAnsi="David" w:cs="David"/>
                      <w:b/>
                      <w:bCs/>
                      <w:sz w:val="26"/>
                      <w:szCs w:val="26"/>
                    </w:rPr>
                  </w:pPr>
                </w:p>
              </w:tc>
              <w:tc>
                <w:tcPr>
                  <w:tcW w:w="4219" w:type="dxa"/>
                  <w:tcBorders>
                    <w:top w:val="nil"/>
                    <w:left w:val="nil"/>
                    <w:bottom w:val="nil"/>
                    <w:right w:val="nil"/>
                  </w:tcBorders>
                </w:tcPr>
                <w:p w:rsidR="000543FD" w:rsidRPr="000543FD" w:rsidRDefault="000543FD" w:rsidP="000543FD">
                  <w:pPr>
                    <w:spacing w:after="0" w:line="240" w:lineRule="auto"/>
                    <w:jc w:val="both"/>
                    <w:rPr>
                      <w:rFonts w:ascii="David" w:eastAsia="Times New Roman" w:hAnsi="David" w:cs="David"/>
                      <w:b/>
                      <w:bCs/>
                      <w:sz w:val="26"/>
                      <w:szCs w:val="26"/>
                    </w:rPr>
                  </w:pPr>
                </w:p>
              </w:tc>
              <w:tc>
                <w:tcPr>
                  <w:tcW w:w="3708" w:type="dxa"/>
                  <w:tcBorders>
                    <w:top w:val="nil"/>
                    <w:left w:val="nil"/>
                    <w:bottom w:val="nil"/>
                    <w:right w:val="nil"/>
                  </w:tcBorders>
                  <w:hideMark/>
                </w:tcPr>
                <w:p w:rsidR="000543FD" w:rsidRPr="000543FD" w:rsidRDefault="000543FD" w:rsidP="000543FD">
                  <w:pPr>
                    <w:spacing w:after="0" w:line="240" w:lineRule="auto"/>
                    <w:rPr>
                      <w:rFonts w:ascii="David" w:eastAsia="Times New Roman" w:hAnsi="David" w:cs="David"/>
                      <w:b/>
                      <w:bCs/>
                      <w:sz w:val="26"/>
                      <w:szCs w:val="26"/>
                      <w:rtl/>
                    </w:rPr>
                  </w:pPr>
                  <w:r w:rsidRPr="000543FD">
                    <w:rPr>
                      <w:rFonts w:ascii="David" w:eastAsia="Times New Roman" w:hAnsi="David" w:cs="David"/>
                      <w:b/>
                      <w:bCs/>
                      <w:sz w:val="26"/>
                      <w:szCs w:val="26"/>
                      <w:rtl/>
                    </w:rPr>
                    <w:t xml:space="preserve">                       המאשימה</w:t>
                  </w:r>
                </w:p>
              </w:tc>
            </w:tr>
            <w:tr w:rsidR="000543FD" w:rsidRPr="000543FD" w:rsidTr="008D389B">
              <w:trPr>
                <w:trHeight w:val="355"/>
                <w:jc w:val="center"/>
              </w:trPr>
              <w:tc>
                <w:tcPr>
                  <w:tcW w:w="893" w:type="dxa"/>
                  <w:tcBorders>
                    <w:top w:val="nil"/>
                    <w:left w:val="nil"/>
                    <w:bottom w:val="nil"/>
                    <w:right w:val="nil"/>
                  </w:tcBorders>
                </w:tcPr>
                <w:p w:rsidR="000543FD" w:rsidRPr="000543FD" w:rsidRDefault="000543FD" w:rsidP="000543FD">
                  <w:pPr>
                    <w:spacing w:after="0" w:line="240" w:lineRule="auto"/>
                    <w:jc w:val="both"/>
                    <w:rPr>
                      <w:rFonts w:ascii="David" w:eastAsia="Times New Roman" w:hAnsi="David" w:cs="David"/>
                      <w:b/>
                      <w:bCs/>
                      <w:sz w:val="26"/>
                      <w:szCs w:val="26"/>
                      <w:rtl/>
                    </w:rPr>
                  </w:pPr>
                </w:p>
              </w:tc>
              <w:tc>
                <w:tcPr>
                  <w:tcW w:w="7927" w:type="dxa"/>
                  <w:gridSpan w:val="2"/>
                  <w:tcBorders>
                    <w:top w:val="nil"/>
                    <w:left w:val="nil"/>
                    <w:bottom w:val="nil"/>
                    <w:right w:val="nil"/>
                  </w:tcBorders>
                </w:tcPr>
                <w:p w:rsidR="000543FD" w:rsidRPr="000543FD" w:rsidRDefault="000543FD" w:rsidP="000543FD">
                  <w:pPr>
                    <w:spacing w:after="0" w:line="240" w:lineRule="auto"/>
                    <w:jc w:val="center"/>
                    <w:rPr>
                      <w:rFonts w:ascii="David" w:eastAsia="Times New Roman" w:hAnsi="David" w:cs="David"/>
                      <w:b/>
                      <w:bCs/>
                      <w:sz w:val="26"/>
                      <w:szCs w:val="26"/>
                      <w:rtl/>
                    </w:rPr>
                  </w:pPr>
                </w:p>
                <w:p w:rsidR="000543FD" w:rsidRPr="000543FD" w:rsidRDefault="000543FD" w:rsidP="000543FD">
                  <w:pPr>
                    <w:spacing w:after="0" w:line="240" w:lineRule="auto"/>
                    <w:jc w:val="center"/>
                    <w:rPr>
                      <w:rFonts w:ascii="David" w:eastAsia="Times New Roman" w:hAnsi="David" w:cs="David"/>
                      <w:b/>
                      <w:bCs/>
                      <w:sz w:val="26"/>
                      <w:szCs w:val="26"/>
                      <w:rtl/>
                    </w:rPr>
                  </w:pPr>
                  <w:r w:rsidRPr="000543FD">
                    <w:rPr>
                      <w:rFonts w:ascii="David" w:eastAsia="Times New Roman" w:hAnsi="David" w:cs="David"/>
                      <w:b/>
                      <w:bCs/>
                      <w:sz w:val="26"/>
                      <w:szCs w:val="26"/>
                      <w:rtl/>
                    </w:rPr>
                    <w:t>נ ג ד</w:t>
                  </w:r>
                </w:p>
                <w:p w:rsidR="000543FD" w:rsidRPr="000543FD" w:rsidRDefault="000543FD" w:rsidP="000543FD">
                  <w:pPr>
                    <w:spacing w:after="0" w:line="240" w:lineRule="auto"/>
                    <w:jc w:val="both"/>
                    <w:rPr>
                      <w:rFonts w:ascii="David" w:eastAsia="Times New Roman" w:hAnsi="David" w:cs="David"/>
                      <w:b/>
                      <w:bCs/>
                      <w:sz w:val="26"/>
                      <w:szCs w:val="26"/>
                      <w:rtl/>
                    </w:rPr>
                  </w:pPr>
                </w:p>
              </w:tc>
            </w:tr>
            <w:tr w:rsidR="000543FD" w:rsidRPr="000543FD" w:rsidTr="008D389B">
              <w:trPr>
                <w:trHeight w:val="355"/>
                <w:jc w:val="center"/>
              </w:trPr>
              <w:tc>
                <w:tcPr>
                  <w:tcW w:w="893" w:type="dxa"/>
                  <w:tcBorders>
                    <w:top w:val="nil"/>
                    <w:left w:val="nil"/>
                    <w:bottom w:val="nil"/>
                    <w:right w:val="nil"/>
                  </w:tcBorders>
                </w:tcPr>
                <w:p w:rsidR="000543FD" w:rsidRPr="000543FD" w:rsidRDefault="000543FD" w:rsidP="000543FD">
                  <w:pPr>
                    <w:spacing w:after="0" w:line="240" w:lineRule="auto"/>
                    <w:jc w:val="both"/>
                    <w:rPr>
                      <w:rFonts w:ascii="David" w:eastAsia="Times New Roman" w:hAnsi="David" w:cs="David"/>
                      <w:b/>
                      <w:bCs/>
                      <w:sz w:val="26"/>
                      <w:szCs w:val="26"/>
                      <w:rtl/>
                    </w:rPr>
                  </w:pPr>
                </w:p>
              </w:tc>
              <w:tc>
                <w:tcPr>
                  <w:tcW w:w="4219" w:type="dxa"/>
                  <w:tcBorders>
                    <w:top w:val="nil"/>
                    <w:left w:val="nil"/>
                    <w:bottom w:val="nil"/>
                    <w:right w:val="nil"/>
                  </w:tcBorders>
                  <w:hideMark/>
                </w:tcPr>
                <w:p w:rsidR="000543FD" w:rsidRPr="000543FD" w:rsidRDefault="000543FD" w:rsidP="000543FD">
                  <w:pPr>
                    <w:spacing w:after="0" w:line="240" w:lineRule="auto"/>
                    <w:rPr>
                      <w:rFonts w:ascii="Arial" w:eastAsia="Times New Roman" w:hAnsi="Arial" w:cs="David"/>
                      <w:b/>
                      <w:bCs/>
                      <w:sz w:val="26"/>
                      <w:szCs w:val="26"/>
                    </w:rPr>
                  </w:pPr>
                  <w:r>
                    <w:rPr>
                      <w:rFonts w:ascii="David" w:eastAsia="Times New Roman" w:hAnsi="David" w:cs="David" w:hint="cs"/>
                      <w:b/>
                      <w:bCs/>
                      <w:sz w:val="26"/>
                      <w:szCs w:val="26"/>
                      <w:rtl/>
                    </w:rPr>
                    <w:t>פלונית</w:t>
                  </w:r>
                  <w:r w:rsidRPr="000543FD">
                    <w:rPr>
                      <w:rFonts w:ascii="David" w:eastAsia="Times New Roman" w:hAnsi="David" w:cs="David"/>
                      <w:b/>
                      <w:bCs/>
                      <w:sz w:val="26"/>
                      <w:szCs w:val="26"/>
                      <w:rtl/>
                    </w:rPr>
                    <w:t xml:space="preserve"> (קטינה)</w:t>
                  </w:r>
                  <w:r w:rsidRPr="000543FD">
                    <w:rPr>
                      <w:rFonts w:ascii="David" w:eastAsia="Times New Roman" w:hAnsi="David" w:cs="David"/>
                      <w:sz w:val="26"/>
                      <w:szCs w:val="26"/>
                      <w:rtl/>
                    </w:rPr>
                    <w:t xml:space="preserve"> </w:t>
                  </w:r>
                </w:p>
                <w:p w:rsidR="000543FD" w:rsidRPr="000543FD" w:rsidRDefault="000543FD" w:rsidP="000543FD">
                  <w:pPr>
                    <w:spacing w:after="0" w:line="240" w:lineRule="auto"/>
                    <w:rPr>
                      <w:rFonts w:ascii="David" w:eastAsia="Times New Roman" w:hAnsi="David" w:cs="David"/>
                      <w:sz w:val="26"/>
                      <w:szCs w:val="26"/>
                      <w:rtl/>
                    </w:rPr>
                  </w:pPr>
                  <w:r w:rsidRPr="000543FD">
                    <w:rPr>
                      <w:rFonts w:ascii="Arial" w:eastAsia="Times New Roman" w:hAnsi="Arial" w:cs="David"/>
                      <w:sz w:val="26"/>
                      <w:szCs w:val="26"/>
                      <w:rtl/>
                    </w:rPr>
                    <w:t>ע"י ב"כ עוה"ד</w:t>
                  </w:r>
                  <w:r w:rsidRPr="000543FD">
                    <w:rPr>
                      <w:rFonts w:ascii="David" w:eastAsia="Times New Roman" w:hAnsi="David" w:cs="David"/>
                      <w:sz w:val="26"/>
                      <w:szCs w:val="26"/>
                      <w:rtl/>
                    </w:rPr>
                    <w:t xml:space="preserve"> לאה צמל </w:t>
                  </w:r>
                </w:p>
                <w:p w:rsidR="000543FD" w:rsidRPr="000543FD" w:rsidRDefault="000543FD" w:rsidP="000543FD">
                  <w:pPr>
                    <w:spacing w:after="0" w:line="240" w:lineRule="auto"/>
                    <w:rPr>
                      <w:rFonts w:ascii="David" w:eastAsia="Times New Roman" w:hAnsi="David" w:cs="David"/>
                      <w:sz w:val="26"/>
                      <w:szCs w:val="26"/>
                      <w:rtl/>
                    </w:rPr>
                  </w:pPr>
                  <w:r w:rsidRPr="000543FD">
                    <w:rPr>
                      <w:rFonts w:ascii="David" w:eastAsia="Times New Roman" w:hAnsi="David" w:cs="David"/>
                      <w:sz w:val="26"/>
                      <w:szCs w:val="26"/>
                      <w:rtl/>
                    </w:rPr>
                    <w:t>ועוה"ד מוחמד מחמוד</w:t>
                  </w:r>
                </w:p>
              </w:tc>
              <w:tc>
                <w:tcPr>
                  <w:tcW w:w="3708" w:type="dxa"/>
                  <w:tcBorders>
                    <w:top w:val="nil"/>
                    <w:left w:val="nil"/>
                    <w:bottom w:val="nil"/>
                    <w:right w:val="nil"/>
                  </w:tcBorders>
                </w:tcPr>
                <w:p w:rsidR="000543FD" w:rsidRPr="000543FD" w:rsidRDefault="000543FD" w:rsidP="000543FD">
                  <w:pPr>
                    <w:spacing w:after="0" w:line="240" w:lineRule="auto"/>
                    <w:jc w:val="right"/>
                    <w:rPr>
                      <w:rFonts w:ascii="David" w:eastAsia="Times New Roman" w:hAnsi="David" w:cs="David"/>
                      <w:b/>
                      <w:bCs/>
                      <w:sz w:val="26"/>
                      <w:szCs w:val="26"/>
                      <w:rtl/>
                    </w:rPr>
                  </w:pPr>
                </w:p>
              </w:tc>
            </w:tr>
            <w:tr w:rsidR="000543FD" w:rsidRPr="000543FD" w:rsidTr="008D389B">
              <w:trPr>
                <w:trHeight w:val="355"/>
                <w:jc w:val="center"/>
              </w:trPr>
              <w:tc>
                <w:tcPr>
                  <w:tcW w:w="893" w:type="dxa"/>
                  <w:tcBorders>
                    <w:top w:val="nil"/>
                    <w:left w:val="nil"/>
                    <w:bottom w:val="nil"/>
                    <w:right w:val="nil"/>
                  </w:tcBorders>
                </w:tcPr>
                <w:p w:rsidR="000543FD" w:rsidRPr="000543FD" w:rsidRDefault="000543FD" w:rsidP="000543FD">
                  <w:pPr>
                    <w:spacing w:after="0" w:line="240" w:lineRule="auto"/>
                    <w:jc w:val="both"/>
                    <w:rPr>
                      <w:rFonts w:ascii="David" w:eastAsia="Times New Roman" w:hAnsi="David" w:cs="David"/>
                      <w:b/>
                      <w:bCs/>
                      <w:sz w:val="26"/>
                      <w:szCs w:val="26"/>
                      <w:rtl/>
                    </w:rPr>
                  </w:pPr>
                </w:p>
              </w:tc>
              <w:tc>
                <w:tcPr>
                  <w:tcW w:w="4219" w:type="dxa"/>
                  <w:tcBorders>
                    <w:top w:val="nil"/>
                    <w:left w:val="nil"/>
                    <w:bottom w:val="nil"/>
                    <w:right w:val="nil"/>
                  </w:tcBorders>
                  <w:hideMark/>
                </w:tcPr>
                <w:p w:rsidR="000543FD" w:rsidRPr="000543FD" w:rsidRDefault="000543FD" w:rsidP="000543FD">
                  <w:pPr>
                    <w:spacing w:after="0" w:line="240" w:lineRule="auto"/>
                    <w:jc w:val="both"/>
                    <w:rPr>
                      <w:rFonts w:ascii="David" w:eastAsia="Times New Roman" w:hAnsi="David" w:cs="David"/>
                      <w:b/>
                      <w:bCs/>
                      <w:sz w:val="26"/>
                      <w:szCs w:val="26"/>
                      <w:rtl/>
                    </w:rPr>
                  </w:pPr>
                  <w:r w:rsidRPr="000543FD">
                    <w:rPr>
                      <w:rFonts w:ascii="David" w:eastAsia="Times New Roman" w:hAnsi="David" w:cs="David"/>
                      <w:b/>
                      <w:bCs/>
                      <w:sz w:val="26"/>
                      <w:szCs w:val="26"/>
                      <w:rtl/>
                    </w:rPr>
                    <w:t xml:space="preserve">                                                                           </w:t>
                  </w:r>
                </w:p>
              </w:tc>
              <w:tc>
                <w:tcPr>
                  <w:tcW w:w="3708" w:type="dxa"/>
                  <w:tcBorders>
                    <w:top w:val="nil"/>
                    <w:left w:val="nil"/>
                    <w:bottom w:val="nil"/>
                    <w:right w:val="nil"/>
                  </w:tcBorders>
                  <w:hideMark/>
                </w:tcPr>
                <w:p w:rsidR="000543FD" w:rsidRPr="000543FD" w:rsidRDefault="000543FD" w:rsidP="000543FD">
                  <w:pPr>
                    <w:spacing w:after="0" w:line="240" w:lineRule="auto"/>
                    <w:rPr>
                      <w:rFonts w:ascii="David" w:eastAsia="Times New Roman" w:hAnsi="David" w:cs="David"/>
                      <w:b/>
                      <w:bCs/>
                      <w:sz w:val="26"/>
                      <w:szCs w:val="26"/>
                      <w:rtl/>
                    </w:rPr>
                  </w:pPr>
                  <w:r w:rsidRPr="000543FD">
                    <w:rPr>
                      <w:rFonts w:ascii="David" w:eastAsia="Times New Roman" w:hAnsi="David" w:cs="David"/>
                      <w:b/>
                      <w:bCs/>
                      <w:sz w:val="26"/>
                      <w:szCs w:val="26"/>
                      <w:rtl/>
                    </w:rPr>
                    <w:t xml:space="preserve">                         הנאשמת</w:t>
                  </w:r>
                </w:p>
              </w:tc>
            </w:tr>
          </w:tbl>
          <w:p w:rsidR="000543FD" w:rsidRPr="000543FD" w:rsidRDefault="000543FD" w:rsidP="000543FD">
            <w:pPr>
              <w:spacing w:after="0" w:line="240" w:lineRule="auto"/>
              <w:rPr>
                <w:rFonts w:ascii="Arial (W1)" w:eastAsia="Times New Roman" w:hAnsi="Arial (W1)" w:cs="David"/>
                <w:sz w:val="24"/>
                <w:szCs w:val="24"/>
                <w:rtl/>
              </w:rPr>
            </w:pPr>
          </w:p>
          <w:p w:rsidR="000543FD" w:rsidRPr="000543FD" w:rsidRDefault="000543FD" w:rsidP="000543FD">
            <w:pPr>
              <w:spacing w:after="0" w:line="240" w:lineRule="auto"/>
              <w:rPr>
                <w:rFonts w:ascii="Arial (W1)" w:eastAsia="Times New Roman" w:hAnsi="Arial (W1)" w:cs="David"/>
                <w:sz w:val="24"/>
                <w:szCs w:val="24"/>
                <w:rtl/>
              </w:rPr>
            </w:pPr>
          </w:p>
          <w:p w:rsidR="000543FD" w:rsidRPr="000543FD" w:rsidRDefault="000543FD" w:rsidP="000543FD">
            <w:pPr>
              <w:spacing w:after="0" w:line="240" w:lineRule="auto"/>
              <w:rPr>
                <w:rFonts w:ascii="Arial (W1)" w:eastAsia="Times New Roman" w:hAnsi="Arial (W1)" w:cs="David"/>
                <w:sz w:val="24"/>
                <w:szCs w:val="24"/>
                <w:rtl/>
              </w:rPr>
            </w:pPr>
          </w:p>
          <w:p w:rsidR="000543FD" w:rsidRPr="000543FD" w:rsidRDefault="000543FD" w:rsidP="000543FD">
            <w:pPr>
              <w:spacing w:after="0" w:line="240" w:lineRule="auto"/>
              <w:rPr>
                <w:rFonts w:ascii="Arial (W1)" w:eastAsia="Times New Roman" w:hAnsi="Arial (W1)" w:cs="David"/>
                <w:sz w:val="24"/>
                <w:szCs w:val="24"/>
                <w:rtl/>
              </w:rPr>
            </w:pPr>
          </w:p>
          <w:tbl>
            <w:tblPr>
              <w:bidiVisual/>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0543FD" w:rsidRPr="000543FD" w:rsidTr="008D389B">
              <w:trPr>
                <w:trHeight w:val="355"/>
                <w:jc w:val="center"/>
              </w:trPr>
              <w:tc>
                <w:tcPr>
                  <w:tcW w:w="8820" w:type="dxa"/>
                  <w:tcBorders>
                    <w:top w:val="nil"/>
                    <w:left w:val="nil"/>
                    <w:bottom w:val="nil"/>
                    <w:right w:val="nil"/>
                  </w:tcBorders>
                  <w:hideMark/>
                </w:tcPr>
                <w:p w:rsidR="000543FD" w:rsidRPr="000543FD" w:rsidRDefault="000543FD" w:rsidP="000543FD">
                  <w:pPr>
                    <w:spacing w:after="0" w:line="240" w:lineRule="auto"/>
                    <w:jc w:val="center"/>
                    <w:rPr>
                      <w:rFonts w:ascii="Arial" w:eastAsia="Times New Roman" w:hAnsi="Arial" w:cs="David"/>
                      <w:sz w:val="28"/>
                      <w:szCs w:val="28"/>
                      <w:u w:val="single"/>
                      <w:rtl/>
                    </w:rPr>
                  </w:pPr>
                  <w:r w:rsidRPr="000543FD">
                    <w:rPr>
                      <w:rFonts w:ascii="Arial" w:eastAsia="Times New Roman" w:hAnsi="Arial" w:cs="David"/>
                      <w:b/>
                      <w:bCs/>
                      <w:sz w:val="28"/>
                      <w:szCs w:val="28"/>
                      <w:u w:val="single"/>
                      <w:rtl/>
                    </w:rPr>
                    <w:t>הכרעת דין</w:t>
                  </w:r>
                  <w:r>
                    <w:rPr>
                      <w:rFonts w:ascii="Arial" w:eastAsia="Times New Roman" w:hAnsi="Arial" w:cs="David" w:hint="cs"/>
                      <w:sz w:val="28"/>
                      <w:szCs w:val="28"/>
                      <w:u w:val="single"/>
                      <w:rtl/>
                    </w:rPr>
                    <w:t xml:space="preserve"> </w:t>
                  </w:r>
                  <w:r w:rsidRPr="000543FD">
                    <w:rPr>
                      <w:rFonts w:ascii="Arial" w:eastAsia="Times New Roman" w:hAnsi="Arial" w:cs="David"/>
                      <w:b/>
                      <w:bCs/>
                      <w:sz w:val="28"/>
                      <w:szCs w:val="28"/>
                      <w:u w:val="single"/>
                      <w:rtl/>
                    </w:rPr>
                    <w:t>–</w:t>
                  </w:r>
                  <w:r w:rsidRPr="000543FD">
                    <w:rPr>
                      <w:rFonts w:ascii="Arial" w:eastAsia="Times New Roman" w:hAnsi="Arial" w:cs="David" w:hint="cs"/>
                      <w:b/>
                      <w:bCs/>
                      <w:sz w:val="28"/>
                      <w:szCs w:val="28"/>
                      <w:u w:val="single"/>
                      <w:rtl/>
                    </w:rPr>
                    <w:t xml:space="preserve"> נוסח מותמם</w:t>
                  </w:r>
                </w:p>
              </w:tc>
            </w:tr>
          </w:tbl>
          <w:p w:rsidR="000543FD" w:rsidRPr="000543FD" w:rsidRDefault="000543FD" w:rsidP="000543FD">
            <w:pPr>
              <w:spacing w:after="0" w:line="360" w:lineRule="auto"/>
              <w:jc w:val="both"/>
              <w:rPr>
                <w:rFonts w:ascii="David" w:eastAsia="Times New Roman" w:hAnsi="David" w:cs="David"/>
                <w:b/>
                <w:bCs/>
                <w:sz w:val="24"/>
                <w:szCs w:val="24"/>
                <w:rtl/>
              </w:rPr>
            </w:pPr>
          </w:p>
        </w:tc>
      </w:tr>
    </w:tbl>
    <w:p w:rsidR="000543FD" w:rsidRPr="000543FD" w:rsidRDefault="000543FD" w:rsidP="000543FD">
      <w:pPr>
        <w:spacing w:beforeLines="32" w:before="76" w:afterLines="32" w:after="76" w:line="360" w:lineRule="auto"/>
        <w:contextualSpacing/>
        <w:jc w:val="both"/>
        <w:rPr>
          <w:rFonts w:ascii="David" w:eastAsia="Times New Roman" w:hAnsi="David" w:cs="David"/>
          <w:b/>
          <w:bCs/>
          <w:sz w:val="26"/>
          <w:szCs w:val="26"/>
          <w:u w:val="single"/>
        </w:rPr>
      </w:pPr>
      <w:r w:rsidRPr="000543FD">
        <w:rPr>
          <w:rFonts w:ascii="David" w:eastAsia="Times New Roman" w:hAnsi="David" w:cs="David"/>
          <w:b/>
          <w:bCs/>
          <w:sz w:val="26"/>
          <w:szCs w:val="26"/>
          <w:u w:val="single"/>
          <w:rtl/>
        </w:rPr>
        <w:t>השופטת ח' מאק-קלמנוביץ</w:t>
      </w: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כתב האישום</w:t>
      </w:r>
    </w:p>
    <w:p w:rsidR="000543FD" w:rsidRPr="000543FD" w:rsidRDefault="000543FD" w:rsidP="000543FD">
      <w:pPr>
        <w:spacing w:before="80" w:after="80" w:line="360" w:lineRule="auto"/>
        <w:jc w:val="both"/>
        <w:rPr>
          <w:rFonts w:ascii="Times New Roman" w:eastAsia="Times New Roman" w:hAnsi="Times New Roman" w:cs="FrankRuehl"/>
          <w:noProof/>
          <w:sz w:val="26"/>
          <w:szCs w:val="26"/>
          <w:rtl/>
          <w:lang w:eastAsia="he-IL"/>
        </w:rPr>
      </w:pPr>
      <w:r w:rsidRPr="000543FD">
        <w:rPr>
          <w:rFonts w:ascii="David" w:eastAsia="Times New Roman" w:hAnsi="David" w:cs="David"/>
          <w:sz w:val="24"/>
          <w:szCs w:val="24"/>
          <w:rtl/>
        </w:rPr>
        <w:t>1.</w:t>
      </w:r>
      <w:r w:rsidRPr="000543FD">
        <w:rPr>
          <w:rFonts w:ascii="David" w:eastAsia="Times New Roman" w:hAnsi="David" w:cs="David"/>
          <w:sz w:val="24"/>
          <w:szCs w:val="24"/>
          <w:rtl/>
        </w:rPr>
        <w:tab/>
        <w:t>נגד הנאשמת</w:t>
      </w:r>
      <w:r w:rsidRPr="000543FD">
        <w:rPr>
          <w:rFonts w:ascii="David" w:eastAsia="Times New Roman" w:hAnsi="David" w:cs="David" w:hint="cs"/>
          <w:sz w:val="24"/>
          <w:szCs w:val="24"/>
          <w:rtl/>
        </w:rPr>
        <w:t>, קטינה ילידת 12.3.07,</w:t>
      </w:r>
      <w:r w:rsidRPr="000543FD">
        <w:rPr>
          <w:rFonts w:ascii="David" w:eastAsia="Times New Roman" w:hAnsi="David" w:cs="David"/>
          <w:sz w:val="24"/>
          <w:szCs w:val="24"/>
          <w:rtl/>
        </w:rPr>
        <w:t xml:space="preserve"> הוגש ביום 21.12.21 כתב אישום המייחס לה עבירות של מעשה טרור של ניסיון רצח לפי סעיף 305(1) לחוק העונשין תשל"ז-1977 (להלן: "</w:t>
      </w:r>
      <w:r w:rsidRPr="000543FD">
        <w:rPr>
          <w:rFonts w:ascii="David" w:eastAsia="Times New Roman" w:hAnsi="David" w:cs="David"/>
          <w:b/>
          <w:bCs/>
          <w:sz w:val="24"/>
          <w:szCs w:val="24"/>
          <w:rtl/>
        </w:rPr>
        <w:t>החוק</w:t>
      </w:r>
      <w:r w:rsidRPr="000543FD">
        <w:rPr>
          <w:rFonts w:ascii="David" w:eastAsia="Times New Roman" w:hAnsi="David" w:cs="David"/>
          <w:sz w:val="24"/>
          <w:szCs w:val="24"/>
          <w:rtl/>
        </w:rPr>
        <w:t>"), בצירוף סעיף 37 לחוק המאבק בטרור תשע"ו-2016 (להלן: "</w:t>
      </w:r>
      <w:r w:rsidRPr="000543FD">
        <w:rPr>
          <w:rFonts w:ascii="David" w:eastAsia="Times New Roman" w:hAnsi="David" w:cs="David"/>
          <w:b/>
          <w:bCs/>
          <w:sz w:val="24"/>
          <w:szCs w:val="24"/>
          <w:rtl/>
        </w:rPr>
        <w:t>חוק המאבק בטרור</w:t>
      </w:r>
      <w:r w:rsidRPr="000543FD">
        <w:rPr>
          <w:rFonts w:ascii="David" w:eastAsia="Times New Roman" w:hAnsi="David" w:cs="David"/>
          <w:sz w:val="24"/>
          <w:szCs w:val="24"/>
          <w:rtl/>
        </w:rPr>
        <w:t>"), ושיבוש מהלכי משפט, לפי סעיף 244 לחוק.</w:t>
      </w:r>
    </w:p>
    <w:p w:rsidR="000543FD" w:rsidRPr="000543FD" w:rsidRDefault="000543FD" w:rsidP="00DE1453">
      <w:pPr>
        <w:spacing w:before="80" w:after="80" w:line="360" w:lineRule="auto"/>
        <w:jc w:val="both"/>
        <w:rPr>
          <w:rFonts w:ascii="David" w:eastAsia="Times New Roman" w:hAnsi="David" w:cs="David"/>
          <w:sz w:val="24"/>
          <w:szCs w:val="24"/>
        </w:rPr>
      </w:pPr>
      <w:r w:rsidRPr="000543FD">
        <w:rPr>
          <w:rFonts w:ascii="David" w:eastAsia="Times New Roman" w:hAnsi="David" w:cs="David"/>
          <w:sz w:val="24"/>
          <w:szCs w:val="24"/>
          <w:rtl/>
        </w:rPr>
        <w:t>2.</w:t>
      </w:r>
      <w:r w:rsidRPr="000543FD">
        <w:rPr>
          <w:rFonts w:ascii="David" w:eastAsia="Times New Roman" w:hAnsi="David" w:cs="David"/>
          <w:sz w:val="24"/>
          <w:szCs w:val="24"/>
          <w:rtl/>
        </w:rPr>
        <w:tab/>
        <w:t xml:space="preserve">על פי האמור בכתב האישום, בסמוך לפני המתואר בהמשך כתב האישום גמלה בליבה של הנאשמת החלטה לדקור למוות אדם יהודי. לצורך כך היא הצטיידה בסכין בעלת להב של כ-20 ס"מ והכניסה אותו לתיק בית הספר שלה. בתאריך 8.12.21 בשעה 7:15 או בסמוך לכך, יצאה הנאשמת מביתה שברחוב </w:t>
      </w:r>
      <w:r w:rsidR="00DE1453" w:rsidRPr="00DE1453">
        <w:rPr>
          <w:rFonts w:ascii="David" w:eastAsia="Times New Roman" w:hAnsi="David" w:cs="David" w:hint="cs"/>
          <w:sz w:val="24"/>
          <w:szCs w:val="24"/>
          <w:highlight w:val="black"/>
          <w:rtl/>
        </w:rPr>
        <w:t>**********</w:t>
      </w:r>
      <w:r w:rsidRPr="000543FD">
        <w:rPr>
          <w:rFonts w:ascii="David" w:eastAsia="Times New Roman" w:hAnsi="David" w:cs="David"/>
          <w:sz w:val="24"/>
          <w:szCs w:val="24"/>
          <w:rtl/>
        </w:rPr>
        <w:t xml:space="preserve"> בירושלים. בשלב מסוים עצרה הנאשמת בדרכה, הורידה את כיסוי הראש מעל ראשה והכניסה אותו לתוך תיקה, הוציאה מתוך התיק את הסכין והמשיכה ללכת ברחוב </w:t>
      </w:r>
      <w:r w:rsidR="00DE1453" w:rsidRPr="00DE1453">
        <w:rPr>
          <w:rFonts w:ascii="David" w:eastAsia="Times New Roman" w:hAnsi="David" w:cs="David" w:hint="cs"/>
          <w:sz w:val="24"/>
          <w:szCs w:val="24"/>
          <w:highlight w:val="black"/>
          <w:rtl/>
        </w:rPr>
        <w:t>**********</w:t>
      </w:r>
      <w:r w:rsidR="00DE1453">
        <w:rPr>
          <w:rFonts w:ascii="David" w:eastAsia="Times New Roman" w:hAnsi="David" w:cs="David" w:hint="cs"/>
          <w:sz w:val="24"/>
          <w:szCs w:val="24"/>
          <w:rtl/>
        </w:rPr>
        <w:t>.</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3.</w:t>
      </w:r>
      <w:r w:rsidRPr="000543FD">
        <w:rPr>
          <w:rFonts w:ascii="David" w:eastAsia="Times New Roman" w:hAnsi="David" w:cs="David"/>
          <w:sz w:val="24"/>
          <w:szCs w:val="24"/>
          <w:rtl/>
        </w:rPr>
        <w:tab/>
        <w:t>בשלב מסוים עברה במקום מ.כ. (להלן: "</w:t>
      </w:r>
      <w:r w:rsidRPr="000543FD">
        <w:rPr>
          <w:rFonts w:ascii="David" w:eastAsia="Times New Roman" w:hAnsi="David" w:cs="David"/>
          <w:b/>
          <w:bCs/>
          <w:sz w:val="24"/>
          <w:szCs w:val="24"/>
          <w:rtl/>
        </w:rPr>
        <w:t>המתלוננת</w:t>
      </w:r>
      <w:r w:rsidRPr="000543FD">
        <w:rPr>
          <w:rFonts w:ascii="David" w:eastAsia="Times New Roman" w:hAnsi="David" w:cs="David"/>
          <w:sz w:val="24"/>
          <w:szCs w:val="24"/>
          <w:rtl/>
        </w:rPr>
        <w:t xml:space="preserve">") עם חמשת ילדיה הקטנים, בני ארבעה חודשים עד חמש שנים. המתלוננת חבשה כיסוי ראש וילדיה חבשו כיפה, כך שהם נראו בעלי חזות יהודית-דתית. הנאשמת הבחינה במתלוננת ובילדיה ובחזותם היהודית-דתית והחליטה להוציא לפועל את החלטתה, על ידי דקירתה למוות של המתלוננת.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ab/>
        <w:t xml:space="preserve">לצורך כך חבשה הנאשמת את כובע המעיל על ראשה והלכה מאחורי המתלוננת וילדיה במשך כארבעים שניות. בשלב מסוים עמדו המתלוננת וילדיה והנאשמת עקפה אותם, לאחר מכן עמדה במקום על מנת שהמתלוננת וילדיה יעקפו אותה, כך שתוכל לדקור את המתלוננת למוות. כאשר הלכה </w:t>
      </w:r>
      <w:r w:rsidRPr="000543FD">
        <w:rPr>
          <w:rFonts w:ascii="David" w:eastAsia="Times New Roman" w:hAnsi="David" w:cs="David"/>
          <w:sz w:val="24"/>
          <w:szCs w:val="24"/>
          <w:rtl/>
        </w:rPr>
        <w:lastRenderedPageBreak/>
        <w:t>מאחורי המתלוננת וילדיה, שלפה הנאשמת את הסכין ודקרה את המתלוננת בחלק העליון של גופה, בצד ימין של גבה, במטרה להורגה. מיד לאחר מכן ברחה הנאשמת מהמקום בריצה אל בית הספר הסמוך, בו היא לומדת. לאחר שהגיעה לבית הספר, הורידה את מעילה ואת חולצתה וכן ביקשה מחברתה מעיל אחר, וזאת על מנת להסתיר את זהותה.</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w:t>
      </w:r>
      <w:r w:rsidRPr="000543FD">
        <w:rPr>
          <w:rFonts w:ascii="David" w:eastAsia="Times New Roman" w:hAnsi="David" w:cs="David"/>
          <w:sz w:val="24"/>
          <w:szCs w:val="24"/>
          <w:rtl/>
        </w:rPr>
        <w:tab/>
        <w:t>בעקבות המתואר פונתה המתלוננת לבית חולים, כאשר הסכין נעוץ בגבה מעל סקופלה ימין. בבית החולים הוצא הסכין מגבה של המתלוננת, והיא סבלה מחתך בעומק של כ-1.5 ס"מ ובאורך של 2 ס"מ.</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w:t>
      </w:r>
      <w:r w:rsidRPr="000543FD">
        <w:rPr>
          <w:rFonts w:ascii="David" w:eastAsia="Times New Roman" w:hAnsi="David" w:cs="David"/>
          <w:sz w:val="24"/>
          <w:szCs w:val="24"/>
          <w:rtl/>
        </w:rPr>
        <w:tab/>
        <w:t>בכתב האישום נטען כי הנאשמת ניסתה לגרום למותה של המתלוננת, מתוך מניע לאומני ואידיאולוגי ובמטרה לעורר פחד או בהלה בציבור. כמו כן נטען כי הנאשמת עשתה דבר בכוונה למנוע או להכשיל הליך שיפוטי או להביא לידי עיוות דין.</w:t>
      </w: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התשובה לאישום</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6.</w:t>
      </w:r>
      <w:r w:rsidRPr="000543FD">
        <w:rPr>
          <w:rFonts w:ascii="David" w:eastAsia="Times New Roman" w:hAnsi="David" w:cs="David"/>
          <w:sz w:val="24"/>
          <w:szCs w:val="24"/>
          <w:rtl/>
        </w:rPr>
        <w:tab/>
        <w:t xml:space="preserve">בתשובת הנאשמת לכתב האישום, שנמסרה מפי באי כוחה ביום 4.11.22, הודתה הנאשמת בחלק מהעובדות המתוארות, אך הכחישה את הכוונות המיוחסות לה. היא הודתה בכך שיצאה מביתה </w:t>
      </w:r>
      <w:r w:rsidR="00D3503D">
        <w:rPr>
          <w:rFonts w:ascii="David" w:eastAsia="Times New Roman" w:hAnsi="David" w:cs="David" w:hint="cs"/>
          <w:sz w:val="24"/>
          <w:szCs w:val="24"/>
          <w:rtl/>
        </w:rPr>
        <w:t>ו</w:t>
      </w:r>
      <w:r w:rsidRPr="000543FD">
        <w:rPr>
          <w:rFonts w:ascii="David" w:eastAsia="Times New Roman" w:hAnsi="David" w:cs="David"/>
          <w:sz w:val="24"/>
          <w:szCs w:val="24"/>
          <w:rtl/>
        </w:rPr>
        <w:t xml:space="preserve">הורידה את כיסוי הראש, אך הכחישה הוצאת סכין מתוך התיק, אם כי אישרה כי "נחזה כי חפץ כלשהו הוצא". כמו כן אישרה את הליכתה בעקבות המתלוננת וילדיה, את המעקב אחריהם ואת הוצאת הסכין ודקירת המתלוננת, "במידה שהוא תואם את תוצר המצלמות". היא הכחישה את כל הטענות בנוגע למצבה הנפשי, כוונותיה ומטרותיה. הנאשמת הודתה כי ברחה לבית ספרה, הורידה את מעילה וחולצתה ואף ביקשה מעיל מחברתה על מנת להסתיר את זהותה.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7.</w:t>
      </w:r>
      <w:r w:rsidRPr="000543FD">
        <w:rPr>
          <w:rFonts w:ascii="David" w:eastAsia="Times New Roman" w:hAnsi="David" w:cs="David"/>
          <w:sz w:val="24"/>
          <w:szCs w:val="24"/>
          <w:rtl/>
        </w:rPr>
        <w:tab/>
        <w:t xml:space="preserve">הנאשמת הודתה כי המתלוננת פונתה לבית החולים בעקבות הפגיעה, את הרשום בתיעוד הרפואי - "סכין נעוצה שטחית בתת עור מעל סקפולה ימין (חלק מחגורת הכתף ל.צ.) והוצאה תחת בקרה", "ללא חבלה חודרת משמעותית" וכן את חדירת הסכין לשכבה שומנית בעומק של 0.5 ס"מ. הנאשמת הכחישה את העבירות המיוחסות לה.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ככלל, הנאשמת הודעה בעיקרי העובדות המיוחסות לה, אולם טענה כי לא התכוונה לגרום למותה של המתלוננת, וכי הפציעה השטחית שנגרמה לה מצביעה על כך שהדקירה לא היתה חזקה ולא נועדה לגרום למותה של המתלוננת. </w:t>
      </w:r>
    </w:p>
    <w:p w:rsidR="000543FD" w:rsidRPr="000543FD" w:rsidRDefault="000543FD" w:rsidP="00E01812">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הראיות במבט על</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8.</w:t>
      </w:r>
      <w:r w:rsidRPr="000543FD">
        <w:rPr>
          <w:rFonts w:ascii="David" w:eastAsia="Times New Roman" w:hAnsi="David" w:cs="David"/>
          <w:sz w:val="24"/>
          <w:szCs w:val="24"/>
          <w:rtl/>
        </w:rPr>
        <w:tab/>
      </w:r>
      <w:r w:rsidRPr="000543FD">
        <w:rPr>
          <w:rFonts w:ascii="David" w:eastAsia="Times New Roman" w:hAnsi="David" w:cs="David"/>
          <w:b/>
          <w:bCs/>
          <w:sz w:val="24"/>
          <w:szCs w:val="24"/>
          <w:rtl/>
        </w:rPr>
        <w:t xml:space="preserve">מטעם המאשימה העידו: </w:t>
      </w:r>
      <w:r w:rsidRPr="000543FD">
        <w:rPr>
          <w:rFonts w:ascii="David" w:eastAsia="Times New Roman" w:hAnsi="David" w:cs="David"/>
          <w:sz w:val="24"/>
          <w:szCs w:val="24"/>
          <w:rtl/>
        </w:rPr>
        <w:t>ד"ר עמרם קופיאצקי (פרוטוקול מיום 17.11.22, עמ' 12-45); החוקר יוני לוי (פרוטוקול מיום 17.11.22, עמ' 45-56); החוקר תומר פאול (פרוטוקול מים 17.11.22, עמ' 61-74).</w:t>
      </w:r>
    </w:p>
    <w:p w:rsidR="000543FD" w:rsidRPr="000543FD" w:rsidRDefault="000543FD" w:rsidP="00492D45">
      <w:pPr>
        <w:spacing w:before="80" w:after="80" w:line="360" w:lineRule="auto"/>
        <w:jc w:val="both"/>
        <w:rPr>
          <w:rFonts w:ascii="David" w:eastAsia="Times New Roman" w:hAnsi="David" w:cs="David"/>
          <w:sz w:val="24"/>
          <w:szCs w:val="24"/>
          <w:rtl/>
        </w:rPr>
      </w:pPr>
      <w:r w:rsidRPr="000543FD">
        <w:rPr>
          <w:rFonts w:ascii="David" w:eastAsia="Times New Roman" w:hAnsi="David" w:cs="David"/>
          <w:b/>
          <w:bCs/>
          <w:sz w:val="24"/>
          <w:szCs w:val="24"/>
          <w:rtl/>
        </w:rPr>
        <w:lastRenderedPageBreak/>
        <w:tab/>
        <w:t>מטעם ההגנה העידו</w:t>
      </w:r>
      <w:r w:rsidRPr="000543FD">
        <w:rPr>
          <w:rFonts w:ascii="David" w:eastAsia="Times New Roman" w:hAnsi="David" w:cs="David"/>
          <w:sz w:val="24"/>
          <w:szCs w:val="24"/>
          <w:rtl/>
        </w:rPr>
        <w:t xml:space="preserve">: הנאשמת (פרוטוקול מיום 22.12.22, עמ' 17-49); יועצת בית הספר של הנאשמת, </w:t>
      </w:r>
      <w:r w:rsidR="00492D45" w:rsidRPr="00492D45">
        <w:rPr>
          <w:rFonts w:ascii="David" w:eastAsia="Times New Roman" w:hAnsi="David" w:cs="David" w:hint="cs"/>
          <w:sz w:val="24"/>
          <w:szCs w:val="24"/>
          <w:highlight w:val="black"/>
          <w:rtl/>
        </w:rPr>
        <w:t>**********</w:t>
      </w:r>
      <w:r w:rsidR="00492D45" w:rsidRPr="00492D45">
        <w:rPr>
          <w:rFonts w:ascii="David" w:eastAsia="Times New Roman" w:hAnsi="David" w:cs="David"/>
          <w:sz w:val="24"/>
          <w:szCs w:val="24"/>
          <w:rtl/>
        </w:rPr>
        <w:t xml:space="preserve"> </w:t>
      </w:r>
      <w:r w:rsidRPr="000543FD">
        <w:rPr>
          <w:rFonts w:ascii="David" w:eastAsia="Times New Roman" w:hAnsi="David" w:cs="David"/>
          <w:sz w:val="24"/>
          <w:szCs w:val="24"/>
          <w:rtl/>
        </w:rPr>
        <w:t>(פרוטוקול מיום 22.12.22, עמ' 50-55).</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9.</w:t>
      </w:r>
      <w:r w:rsidRPr="000543FD">
        <w:rPr>
          <w:rFonts w:ascii="David" w:eastAsia="Times New Roman" w:hAnsi="David" w:cs="David"/>
          <w:sz w:val="24"/>
          <w:szCs w:val="24"/>
          <w:rtl/>
        </w:rPr>
        <w:tab/>
      </w:r>
      <w:r w:rsidRPr="000543FD">
        <w:rPr>
          <w:rFonts w:ascii="David" w:eastAsia="Times New Roman" w:hAnsi="David" w:cs="David"/>
          <w:b/>
          <w:bCs/>
          <w:sz w:val="24"/>
          <w:szCs w:val="24"/>
          <w:rtl/>
        </w:rPr>
        <w:t xml:space="preserve">כמו כן, הוגשו מטעם המאשימה: </w:t>
      </w:r>
      <w:r w:rsidRPr="000543FD">
        <w:rPr>
          <w:rFonts w:ascii="David" w:eastAsia="Times New Roman" w:hAnsi="David" w:cs="David"/>
          <w:sz w:val="24"/>
          <w:szCs w:val="24"/>
          <w:rtl/>
        </w:rPr>
        <w:t>הודעת הנאשמת במשטרה מיום 8.12.21 שעה 11:09, דיסק ותמלול (ת/1,ת/1א, ת/1ב); הודעת הנאשמת במשטרה מיום 8.12.21 שעה 17:32, דיסק ותמלול (ת/2, ת/2א, ת/2ב); הודעת הנאשמת במשטרה מיום 12.12.21, דיסק ותמלול (ת/3,ת/3א,ת/3ב); הודעת הנאשמת במשטרה מיום 15.12.21, דיסק ותמלול (ת/4, ת/4א, ת/4ב); דיסק עם סרטוני מבט 2000 (ת/6); דיסק עם סרטוני ביתה של הנאשמת (ת/7); תמונת הסכין בה בוצעה העבירה (ת/9); זכ"ד מחקירת המתלוננת מיום 8.12.21 (ת/10); הודעת המתלוננת מיום 8.12.21 (ת/11); הודעת המתלוננת מיום 14.12.21 (ת/12); דו"ח רפואי של מד"א מיום 8.12.21 (ת/13); מסמך מבית החולים הדסה הר הצופים מיום 8.12.21 שערך ד"ר קופיאצקי (ת/14א); מסמך רפואי נוסף מבית החולים – האחות (ת/14ב).</w:t>
      </w:r>
    </w:p>
    <w:p w:rsidR="000543FD" w:rsidRPr="000543FD" w:rsidRDefault="000543FD" w:rsidP="00492D45">
      <w:pPr>
        <w:spacing w:before="80" w:after="80" w:line="360" w:lineRule="auto"/>
        <w:jc w:val="both"/>
        <w:rPr>
          <w:rFonts w:ascii="David" w:eastAsia="Times New Roman" w:hAnsi="David" w:cs="David"/>
          <w:sz w:val="24"/>
          <w:szCs w:val="24"/>
          <w:rtl/>
        </w:rPr>
      </w:pPr>
      <w:r w:rsidRPr="000543FD">
        <w:rPr>
          <w:rFonts w:ascii="David" w:eastAsia="Times New Roman" w:hAnsi="David" w:cs="David"/>
          <w:b/>
          <w:bCs/>
          <w:sz w:val="24"/>
          <w:szCs w:val="24"/>
          <w:rtl/>
        </w:rPr>
        <w:tab/>
        <w:t>מטעם ההגנה הוגשו</w:t>
      </w:r>
      <w:r w:rsidRPr="000543FD">
        <w:rPr>
          <w:rFonts w:ascii="David" w:eastAsia="Times New Roman" w:hAnsi="David" w:cs="David"/>
          <w:sz w:val="24"/>
          <w:szCs w:val="24"/>
          <w:rtl/>
        </w:rPr>
        <w:t xml:space="preserve">: הודעת אחות הנאשמת, </w:t>
      </w:r>
      <w:r w:rsidR="00492D45" w:rsidRPr="00492D45">
        <w:rPr>
          <w:rFonts w:ascii="David" w:eastAsia="Times New Roman" w:hAnsi="David" w:cs="David" w:hint="cs"/>
          <w:sz w:val="24"/>
          <w:szCs w:val="24"/>
          <w:highlight w:val="black"/>
          <w:rtl/>
        </w:rPr>
        <w:t>**********</w:t>
      </w:r>
      <w:r w:rsidR="00492D45" w:rsidRPr="00492D45">
        <w:rPr>
          <w:rFonts w:ascii="David" w:eastAsia="Times New Roman" w:hAnsi="David" w:cs="David"/>
          <w:sz w:val="24"/>
          <w:szCs w:val="24"/>
          <w:highlight w:val="black"/>
          <w:rtl/>
        </w:rPr>
        <w:t xml:space="preserve"> </w:t>
      </w:r>
      <w:r w:rsidR="00492D45">
        <w:rPr>
          <w:rFonts w:ascii="David" w:eastAsia="Times New Roman" w:hAnsi="David" w:cs="David" w:hint="cs"/>
          <w:sz w:val="24"/>
          <w:szCs w:val="24"/>
          <w:rtl/>
        </w:rPr>
        <w:t xml:space="preserve"> </w:t>
      </w:r>
      <w:r w:rsidRPr="000543FD">
        <w:rPr>
          <w:rFonts w:ascii="David" w:eastAsia="Times New Roman" w:hAnsi="David" w:cs="David"/>
          <w:sz w:val="24"/>
          <w:szCs w:val="24"/>
          <w:rtl/>
        </w:rPr>
        <w:t xml:space="preserve">מיום 8.12.21 שעה 9:34 (נ/1); הודעת אחות הנאשמת, </w:t>
      </w:r>
      <w:r w:rsidR="00492D45" w:rsidRPr="00492D45">
        <w:rPr>
          <w:rFonts w:ascii="David" w:eastAsia="Times New Roman" w:hAnsi="David" w:cs="David" w:hint="cs"/>
          <w:sz w:val="24"/>
          <w:szCs w:val="24"/>
          <w:highlight w:val="black"/>
          <w:rtl/>
        </w:rPr>
        <w:t>**********</w:t>
      </w:r>
      <w:r w:rsidR="00492D45" w:rsidRPr="00492D45">
        <w:rPr>
          <w:rFonts w:ascii="David" w:eastAsia="Times New Roman" w:hAnsi="David" w:cs="David"/>
          <w:sz w:val="24"/>
          <w:szCs w:val="24"/>
          <w:highlight w:val="black"/>
          <w:rtl/>
        </w:rPr>
        <w:t xml:space="preserve"> </w:t>
      </w:r>
      <w:r w:rsidRPr="000543FD">
        <w:rPr>
          <w:rFonts w:ascii="David" w:eastAsia="Times New Roman" w:hAnsi="David" w:cs="David"/>
          <w:sz w:val="24"/>
          <w:szCs w:val="24"/>
          <w:rtl/>
        </w:rPr>
        <w:t xml:space="preserve">מיום 8.12.21 שעה 12:28 (נ/2); הודעת אחות הנאשמת, </w:t>
      </w:r>
      <w:r w:rsidR="00492D45" w:rsidRPr="00492D45">
        <w:rPr>
          <w:rFonts w:ascii="David" w:eastAsia="Times New Roman" w:hAnsi="David" w:cs="David" w:hint="cs"/>
          <w:sz w:val="24"/>
          <w:szCs w:val="24"/>
          <w:highlight w:val="black"/>
          <w:rtl/>
        </w:rPr>
        <w:t>**********</w:t>
      </w:r>
      <w:r w:rsidR="00492D45" w:rsidRPr="00492D45">
        <w:rPr>
          <w:rFonts w:ascii="David" w:eastAsia="Times New Roman" w:hAnsi="David" w:cs="David"/>
          <w:sz w:val="24"/>
          <w:szCs w:val="24"/>
          <w:highlight w:val="black"/>
          <w:rtl/>
        </w:rPr>
        <w:t xml:space="preserve"> </w:t>
      </w:r>
      <w:r w:rsidRPr="000543FD">
        <w:rPr>
          <w:rFonts w:ascii="David" w:eastAsia="Times New Roman" w:hAnsi="David" w:cs="David"/>
          <w:sz w:val="24"/>
          <w:szCs w:val="24"/>
          <w:rtl/>
        </w:rPr>
        <w:t xml:space="preserve">מיום 8.12.21 שעה 16:38 (נ/3); הודעת אחות הנאשמת, </w:t>
      </w:r>
      <w:r w:rsidR="00492D45" w:rsidRPr="00492D45">
        <w:rPr>
          <w:rFonts w:ascii="David" w:eastAsia="Times New Roman" w:hAnsi="David" w:cs="David" w:hint="cs"/>
          <w:sz w:val="24"/>
          <w:szCs w:val="24"/>
          <w:highlight w:val="black"/>
          <w:rtl/>
        </w:rPr>
        <w:t>**********</w:t>
      </w:r>
      <w:r w:rsidR="00492D45" w:rsidRPr="00492D45">
        <w:rPr>
          <w:rFonts w:ascii="David" w:eastAsia="Times New Roman" w:hAnsi="David" w:cs="David"/>
          <w:sz w:val="24"/>
          <w:szCs w:val="24"/>
          <w:highlight w:val="black"/>
          <w:rtl/>
        </w:rPr>
        <w:t xml:space="preserve"> </w:t>
      </w:r>
      <w:r w:rsidRPr="000543FD">
        <w:rPr>
          <w:rFonts w:ascii="David" w:eastAsia="Times New Roman" w:hAnsi="David" w:cs="David"/>
          <w:sz w:val="24"/>
          <w:szCs w:val="24"/>
          <w:rtl/>
        </w:rPr>
        <w:t xml:space="preserve">מיום 12.12.21 שעה 10:34 (נ/4); הודעת אבי הנאשמת, </w:t>
      </w:r>
      <w:r w:rsidR="00492D45" w:rsidRPr="00492D45">
        <w:rPr>
          <w:rFonts w:ascii="David" w:eastAsia="Times New Roman" w:hAnsi="David" w:cs="David" w:hint="cs"/>
          <w:sz w:val="24"/>
          <w:szCs w:val="24"/>
          <w:highlight w:val="black"/>
          <w:rtl/>
        </w:rPr>
        <w:t>**********</w:t>
      </w:r>
      <w:r w:rsidR="00492D45" w:rsidRPr="00492D45">
        <w:rPr>
          <w:rFonts w:ascii="David" w:eastAsia="Times New Roman" w:hAnsi="David" w:cs="David"/>
          <w:sz w:val="24"/>
          <w:szCs w:val="24"/>
          <w:highlight w:val="black"/>
          <w:rtl/>
        </w:rPr>
        <w:t xml:space="preserve"> </w:t>
      </w:r>
      <w:r w:rsidRPr="000543FD">
        <w:rPr>
          <w:rFonts w:ascii="David" w:eastAsia="Times New Roman" w:hAnsi="David" w:cs="David"/>
          <w:sz w:val="24"/>
          <w:szCs w:val="24"/>
          <w:rtl/>
        </w:rPr>
        <w:t xml:space="preserve">מיום 8.12.21 שעה 18:04 (נ/5); הודעת אמה של הנאשמת </w:t>
      </w:r>
      <w:r w:rsidR="00492D45" w:rsidRPr="00492D45">
        <w:rPr>
          <w:rFonts w:ascii="David" w:eastAsia="Times New Roman" w:hAnsi="David" w:cs="David" w:hint="cs"/>
          <w:sz w:val="24"/>
          <w:szCs w:val="24"/>
          <w:highlight w:val="black"/>
          <w:rtl/>
        </w:rPr>
        <w:t>**********</w:t>
      </w:r>
      <w:r w:rsidR="00492D45" w:rsidRPr="00492D45">
        <w:rPr>
          <w:rFonts w:ascii="David" w:eastAsia="Times New Roman" w:hAnsi="David" w:cs="David"/>
          <w:sz w:val="24"/>
          <w:szCs w:val="24"/>
          <w:highlight w:val="black"/>
          <w:rtl/>
        </w:rPr>
        <w:t xml:space="preserve"> </w:t>
      </w:r>
      <w:r w:rsidR="00492D45">
        <w:rPr>
          <w:rFonts w:ascii="David" w:eastAsia="Times New Roman" w:hAnsi="David" w:cs="David" w:hint="cs"/>
          <w:sz w:val="24"/>
          <w:szCs w:val="24"/>
          <w:rtl/>
        </w:rPr>
        <w:t xml:space="preserve"> </w:t>
      </w:r>
      <w:r w:rsidRPr="000543FD">
        <w:rPr>
          <w:rFonts w:ascii="David" w:eastAsia="Times New Roman" w:hAnsi="David" w:cs="David"/>
          <w:sz w:val="24"/>
          <w:szCs w:val="24"/>
          <w:rtl/>
        </w:rPr>
        <w:t>מיום 8.12.21 שעה 11:54 (נ/6); הודעת אמה של הנאשמת</w:t>
      </w:r>
      <w:r w:rsidR="00492D45">
        <w:rPr>
          <w:rFonts w:ascii="David" w:eastAsia="Times New Roman" w:hAnsi="David" w:cs="David" w:hint="cs"/>
          <w:sz w:val="24"/>
          <w:szCs w:val="24"/>
          <w:rtl/>
        </w:rPr>
        <w:t xml:space="preserve"> </w:t>
      </w:r>
      <w:r w:rsidRPr="000543FD">
        <w:rPr>
          <w:rFonts w:ascii="David" w:eastAsia="Times New Roman" w:hAnsi="David" w:cs="David"/>
          <w:sz w:val="24"/>
          <w:szCs w:val="24"/>
          <w:rtl/>
        </w:rPr>
        <w:t xml:space="preserve"> </w:t>
      </w:r>
      <w:r w:rsidR="00492D45" w:rsidRPr="00492D45">
        <w:rPr>
          <w:rFonts w:ascii="David" w:eastAsia="Times New Roman" w:hAnsi="David" w:cs="David" w:hint="cs"/>
          <w:sz w:val="24"/>
          <w:szCs w:val="24"/>
          <w:highlight w:val="black"/>
          <w:rtl/>
        </w:rPr>
        <w:t>**********</w:t>
      </w:r>
      <w:r w:rsidR="00492D45" w:rsidRPr="00492D45">
        <w:rPr>
          <w:rFonts w:ascii="David" w:eastAsia="Times New Roman" w:hAnsi="David" w:cs="David"/>
          <w:sz w:val="24"/>
          <w:szCs w:val="24"/>
          <w:rtl/>
        </w:rPr>
        <w:t xml:space="preserve"> </w:t>
      </w:r>
      <w:r w:rsidRPr="000543FD">
        <w:rPr>
          <w:rFonts w:ascii="David" w:eastAsia="Times New Roman" w:hAnsi="David" w:cs="David"/>
          <w:sz w:val="24"/>
          <w:szCs w:val="24"/>
          <w:rtl/>
        </w:rPr>
        <w:t xml:space="preserve">מיום 12.12.21 שעה 15:39 (נ/7); הודעת אביה של הנאשמת, </w:t>
      </w:r>
      <w:r w:rsidR="00492D45" w:rsidRPr="00492D45">
        <w:rPr>
          <w:rFonts w:ascii="David" w:eastAsia="Times New Roman" w:hAnsi="David" w:cs="David" w:hint="cs"/>
          <w:sz w:val="24"/>
          <w:szCs w:val="24"/>
          <w:highlight w:val="black"/>
          <w:rtl/>
        </w:rPr>
        <w:t>**********</w:t>
      </w:r>
      <w:r w:rsidR="00492D45" w:rsidRPr="00492D45">
        <w:rPr>
          <w:rFonts w:ascii="David" w:eastAsia="Times New Roman" w:hAnsi="David" w:cs="David"/>
          <w:sz w:val="24"/>
          <w:szCs w:val="24"/>
          <w:rtl/>
        </w:rPr>
        <w:t xml:space="preserve"> </w:t>
      </w:r>
      <w:r w:rsidRPr="000543FD">
        <w:rPr>
          <w:rFonts w:ascii="David" w:eastAsia="Times New Roman" w:hAnsi="David" w:cs="David"/>
          <w:sz w:val="24"/>
          <w:szCs w:val="24"/>
          <w:rtl/>
        </w:rPr>
        <w:t>מיום 12.12.21 שעה 12:02 (נ/8).</w:t>
      </w: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תמצית טענות הצדדים</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10.</w:t>
      </w:r>
      <w:r w:rsidRPr="000543FD">
        <w:rPr>
          <w:rFonts w:ascii="David" w:eastAsia="Times New Roman" w:hAnsi="David" w:cs="David"/>
          <w:sz w:val="24"/>
          <w:szCs w:val="24"/>
          <w:rtl/>
        </w:rPr>
        <w:tab/>
      </w:r>
      <w:r w:rsidRPr="000543FD">
        <w:rPr>
          <w:rFonts w:ascii="David" w:eastAsia="Times New Roman" w:hAnsi="David" w:cs="David"/>
          <w:b/>
          <w:bCs/>
          <w:sz w:val="24"/>
          <w:szCs w:val="24"/>
          <w:rtl/>
        </w:rPr>
        <w:t>ב"כ המאשימה</w:t>
      </w:r>
      <w:r w:rsidRPr="000543FD">
        <w:rPr>
          <w:rFonts w:ascii="David" w:eastAsia="Times New Roman" w:hAnsi="David" w:cs="David"/>
          <w:sz w:val="24"/>
          <w:szCs w:val="24"/>
          <w:rtl/>
        </w:rPr>
        <w:t xml:space="preserve"> ביקש להרשיע את הנאשמת בעובדות ובעבירות המיוחסות לה בכתב האישום. לטענתו מתקיימים יסודות העבירה של נסיון לרצח, בין היתר מכיוון שהנאשמת לא סתרה את חזקת הכוונה, לפיה אדם מתכוון לתוצאות הטבעיות של מעשיו.</w:t>
      </w:r>
      <w:r w:rsidRPr="000543FD">
        <w:rPr>
          <w:rFonts w:ascii="David" w:eastAsia="Times New Roman" w:hAnsi="David" w:cs="David"/>
          <w:sz w:val="24"/>
          <w:szCs w:val="24"/>
          <w:rtl/>
        </w:rPr>
        <w:tab/>
        <w:t xml:space="preserve"> גם המניע הלאומני שמאחורי המעשים תומך במסקנה שהנאשמת פעלה בכוונה להמית את המתלוננת. מיקום הדקירה, בפלג הגוף העליון, אף הוא מצביע על הכוונה, שכן מדובר במיקום מסוכן, והדקירה היתה עלולה לפגוע באיברים חיוניים כגון הלב והריאות, או בעמוד השדרה. הדקירה היתה עוצמתית, שכן הסכין עבר את מעילה של המתלוננת ונשאר בגופה. העובדה שמדובר בדקירה אחת אינה מלמדת, לטענתו, על היעדר כוונת רצח.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ב"כ המאשימה הוסיף וטען כי מדובר באירוע מתוכנן, הנאשמת הצטיידה מבעוד מועד בסכין בעל להב ארוך, בחרה את קורבנה וחיכתה לרגע המתאים, ללא כל התגרות מצידה של המתלוננת.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11.</w:t>
      </w:r>
      <w:r w:rsidRPr="000543FD">
        <w:rPr>
          <w:rFonts w:ascii="David" w:eastAsia="Times New Roman" w:hAnsi="David" w:cs="David"/>
          <w:sz w:val="24"/>
          <w:szCs w:val="24"/>
          <w:rtl/>
        </w:rPr>
        <w:tab/>
        <w:t xml:space="preserve">לטענת המאשימה גם לאחר התיקון בחוק החל על עבירות ההמתה ניתן להרשיע את הנאשמת בעבירה של נסיון לרצח, שכן בין אם נדרש יסוד נפשי של כוונת קטילה, בין אם די ביסוד נפשי מצומצם </w:t>
      </w:r>
      <w:r w:rsidRPr="000543FD">
        <w:rPr>
          <w:rFonts w:ascii="David" w:eastAsia="Times New Roman" w:hAnsi="David" w:cs="David"/>
          <w:sz w:val="24"/>
          <w:szCs w:val="24"/>
          <w:rtl/>
        </w:rPr>
        <w:lastRenderedPageBreak/>
        <w:t>יותר, מתקיימת במקרה זה כוונת הקטילה. כמו כן הוכחו, לטענת ב"כ המאשימה, גם כוונה להמית כולל הכנה, והעדר קינטור, וכן נסיבות מיוחדות של מניע של גזענות ועויינות כלפי הציבור היהודי.</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לעניין טענת האכיפה הבררנית שהעלו הסניגורים טען ב"כ המאשימה כי המקרים אליהם הפנתה ההגנה אינם דומים לנדון כאן, וכי ההגנה לא הראתה ולו מקרה אחד בו התקיימו כל הנסיבות המתקיימות במקרה זה, כולל כוונה מיוחדת ומניע גזעני. גם נושא זה יידון בהמשך ביתר פירוט.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12.</w:t>
      </w:r>
      <w:r w:rsidRPr="000543FD">
        <w:rPr>
          <w:rFonts w:ascii="David" w:eastAsia="Times New Roman" w:hAnsi="David" w:cs="David"/>
          <w:sz w:val="24"/>
          <w:szCs w:val="24"/>
          <w:rtl/>
        </w:rPr>
        <w:tab/>
      </w:r>
      <w:r w:rsidRPr="000543FD">
        <w:rPr>
          <w:rFonts w:ascii="David" w:eastAsia="Times New Roman" w:hAnsi="David" w:cs="David"/>
          <w:b/>
          <w:bCs/>
          <w:sz w:val="24"/>
          <w:szCs w:val="24"/>
          <w:rtl/>
        </w:rPr>
        <w:t>לטענת ב"כ הנאשמת</w:t>
      </w:r>
      <w:r w:rsidRPr="000543FD">
        <w:rPr>
          <w:rFonts w:ascii="David" w:eastAsia="Times New Roman" w:hAnsi="David" w:cs="David"/>
          <w:sz w:val="24"/>
          <w:szCs w:val="24"/>
          <w:rtl/>
        </w:rPr>
        <w:t xml:space="preserve"> המאשימה לא הוכיחה את העובדות הנטענות בכתב האישום: לא הוכח כי הנאשמת החליטה להמית יהודיה, לא הוכח כי היא פעלה במטרה להגיע להזדמנות לדקור את המתלוננת ולגרום למותה, לא הוכחה גמירות דעת והחלטה של הנאשמת לדקור, וודאי שלא לדקור יהודי, וגם בחיפוש בטלפון של הנאשמת לא נמצא דבר התומך במניע לאומני. לטענת הסניגורים, הנאשמת פעלה מתוך כוונה למרוד במסגרת הדתית, ואף הביעה רצון לעזוב את ביתה וללמוד לקבלת תעודת בגרות ישראלית. על רקע זה ביקשו הסניגורים לפרש את התנהגותה של הנאשמת עובר לביצוע הדקירה.</w:t>
      </w:r>
    </w:p>
    <w:p w:rsidR="000543FD" w:rsidRPr="000543FD" w:rsidRDefault="000543FD" w:rsidP="000543FD">
      <w:pPr>
        <w:spacing w:before="80" w:after="80" w:line="360" w:lineRule="auto"/>
        <w:ind w:firstLine="720"/>
        <w:jc w:val="both"/>
        <w:rPr>
          <w:rFonts w:ascii="David" w:eastAsia="Times New Roman" w:hAnsi="David" w:cs="David"/>
          <w:sz w:val="24"/>
          <w:szCs w:val="24"/>
        </w:rPr>
      </w:pPr>
      <w:r w:rsidRPr="000543FD">
        <w:rPr>
          <w:rFonts w:ascii="David" w:eastAsia="Times New Roman" w:hAnsi="David" w:cs="David"/>
          <w:sz w:val="24"/>
          <w:szCs w:val="24"/>
        </w:rPr>
        <w:t xml:space="preserve"> </w:t>
      </w:r>
      <w:r w:rsidRPr="000543FD">
        <w:rPr>
          <w:rFonts w:ascii="David" w:eastAsia="Times New Roman" w:hAnsi="David" w:cs="David"/>
          <w:sz w:val="24"/>
          <w:szCs w:val="24"/>
          <w:rtl/>
        </w:rPr>
        <w:t>באי כוח הנאשמת ביקשו לייחס הסברים שונים למעשיה של הנאשמת: לטענתם היא הוציאה את הסכין מתיקה מחשש שיערך בו חיפוש בבית הספר, עטתה את כיסוי הראש בהוראת אביה אך הסירה אותו לאחר שהתרחקה מהבית, התנהגה באופן מחשיד כשהשוטרים הגיעו לבית ספרה, ועוד.</w:t>
      </w:r>
    </w:p>
    <w:p w:rsidR="000543FD" w:rsidRPr="000543FD" w:rsidRDefault="000543FD" w:rsidP="000543FD">
      <w:pPr>
        <w:spacing w:before="80" w:after="80" w:line="360" w:lineRule="auto"/>
        <w:jc w:val="both"/>
        <w:rPr>
          <w:rFonts w:ascii="David" w:eastAsia="Times New Roman" w:hAnsi="David" w:cs="David"/>
          <w:sz w:val="24"/>
          <w:szCs w:val="24"/>
        </w:rPr>
      </w:pPr>
      <w:r w:rsidRPr="000543FD">
        <w:rPr>
          <w:rFonts w:ascii="David" w:eastAsia="Times New Roman" w:hAnsi="David" w:cs="David"/>
          <w:sz w:val="24"/>
          <w:szCs w:val="24"/>
          <w:rtl/>
        </w:rPr>
        <w:t>13.</w:t>
      </w:r>
      <w:r w:rsidRPr="000543FD">
        <w:rPr>
          <w:rFonts w:ascii="David" w:eastAsia="Times New Roman" w:hAnsi="David" w:cs="David"/>
          <w:sz w:val="24"/>
          <w:szCs w:val="24"/>
          <w:rtl/>
        </w:rPr>
        <w:tab/>
        <w:t xml:space="preserve">הסנגורים העלו טענה של אכיפה בררנית, והפנו לשורה של פסקי דין ותיקים אחרים העוסקים בתקיפת ערבים על ידי יהודים, בשל מוצאם לאומם ודתם באמצעות סכין, בהם הוגשו כתבי אישום בגין עבירות של חבלה בכוונה מחמירה או חבלה בנסיבות מחמירות, אך לא בעבירה של ניסיון לרצח. עוד טענו הסניגורים כי המאשימה לא הוכיחה מניע למעשים ולא הוכיחה את היסוד הנפשי של הנאשמת. לטענתם חזקת הכוונה אינה מתקיימת במקרה זה, הן משום שמדובר בדקירה בודדת, הן בשל מיקום הפגיעה והן לנוכח התנהגות הנאשמת עובר לאירוע ולאחריו.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ab/>
        <w:t xml:space="preserve">בנוגע לפגיעה במתלוננת, הסנגורים טענו כי נגבתה הודעה מרופא שהיה בתחילת התמחותו ולא מהרופא הבכיר שהיה מעורב בטיפול, בשל היותו של הרופא הבכיר ערבי. עוד טענו כי חלו שינויים מסויימים בתיאור פציעתה של המתלוננת, וכי הדקירה שלא כוונה לחזה אינה מצביעה על כוונת קטילה.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ab/>
      </w: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עיקרי העדויות</w:t>
      </w: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sz w:val="24"/>
          <w:szCs w:val="24"/>
          <w:rtl/>
        </w:rPr>
        <w:t>14.</w:t>
      </w:r>
      <w:r w:rsidRPr="000543FD">
        <w:rPr>
          <w:rFonts w:ascii="David" w:eastAsia="Times New Roman" w:hAnsi="David" w:cs="David"/>
          <w:sz w:val="24"/>
          <w:szCs w:val="24"/>
          <w:rtl/>
        </w:rPr>
        <w:tab/>
      </w:r>
      <w:r w:rsidRPr="000543FD">
        <w:rPr>
          <w:rFonts w:ascii="David" w:eastAsia="Times New Roman" w:hAnsi="David" w:cs="David"/>
          <w:b/>
          <w:bCs/>
          <w:sz w:val="24"/>
          <w:szCs w:val="24"/>
          <w:rtl/>
        </w:rPr>
        <w:t>ד"ר עמרם קופיאצקי</w:t>
      </w:r>
      <w:r w:rsidRPr="000543FD">
        <w:rPr>
          <w:rFonts w:ascii="David" w:eastAsia="Times New Roman" w:hAnsi="David" w:cs="David"/>
          <w:sz w:val="24"/>
          <w:szCs w:val="24"/>
          <w:rtl/>
        </w:rPr>
        <w:t xml:space="preserve"> הוא רופא בבית החולים הדסה הר הצופים בירושלים, בזמן האירוע היה מתמחה בכירורגיה בשנת ההתמחות הראשונה, שימש כתורן וקיבל את הטיפול במתלוננת מיד לאחר הדקירה, כשסכין נעוצה בגבה, באזור בית החזה. הוא העיד כי בוצעה אקספלוריזציה לצורך הערכת עומקו וגודלו של הפצע ושלילת פגיעה בכלי דם גדולים, והתגלה כי החבלה אינה "חודרנית" </w:t>
      </w:r>
      <w:r w:rsidRPr="000543FD">
        <w:rPr>
          <w:rFonts w:ascii="David" w:eastAsia="Times New Roman" w:hAnsi="David" w:cs="David"/>
          <w:sz w:val="24"/>
          <w:szCs w:val="24"/>
          <w:rtl/>
        </w:rPr>
        <w:lastRenderedPageBreak/>
        <w:t xml:space="preserve">אלא "שטחית". הרופא נחקר ושלל את האפשרות שעצם הטיפול וביצוע האקספלוריזציה גרמו להרחבת החתך, והסביר כי הבדיקה נעשית באמצעות מטוש ולא באמצעות סכין. העד נשאל על כך שבמכתב השחרור נכתב כי עומק החדירה 0.5 ס"מ, ואילו בהודעתו במשטרה, כחמישה ימים לאחר מכן, העריך את העומק בכ-1.5 ס"מ. הוא הסביר כי בכל מקרה דובר בהערכה בלבד ובשני המקרים הפצע נחשב שטחי.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15.</w:t>
      </w:r>
      <w:r w:rsidRPr="000543FD">
        <w:rPr>
          <w:rFonts w:ascii="David" w:eastAsia="Times New Roman" w:hAnsi="David" w:cs="David"/>
          <w:sz w:val="24"/>
          <w:szCs w:val="24"/>
          <w:rtl/>
        </w:rPr>
        <w:tab/>
      </w:r>
      <w:r w:rsidRPr="000543FD">
        <w:rPr>
          <w:rFonts w:ascii="David" w:eastAsia="Times New Roman" w:hAnsi="David" w:cs="David"/>
          <w:b/>
          <w:bCs/>
          <w:sz w:val="24"/>
          <w:szCs w:val="24"/>
          <w:rtl/>
        </w:rPr>
        <w:t>רס"ר יוני לוי</w:t>
      </w:r>
      <w:r w:rsidRPr="000543FD">
        <w:rPr>
          <w:rFonts w:ascii="David" w:eastAsia="Times New Roman" w:hAnsi="David" w:cs="David"/>
          <w:sz w:val="24"/>
          <w:szCs w:val="24"/>
          <w:rtl/>
        </w:rPr>
        <w:t xml:space="preserve"> הוא החוקר שגבה את הודעתו של ד"ר קופיאצקי בבית החולים ביום 13.12.21. הוא העיד כי לפני החקירה קיבל תדריך מהקצין, אולם הוא לא הגיע לחקירה עם רשימת שאלות מוכנות מראש. החוקר אישר כי מטרת חקירת הרופא היתה הבנת היסוד הנפשי של העבירה,  חומרת הפציעה והנזק שהיה עלול להיגרם כתוצאה ממנה. הוא לא ידע להשיב מדוע בחרו לחקור דוקא את ד"ר קופיאצקי, ולא רופא בכיר ממנו, אך העיד כי נאמר לו שד"ר קופיאצקי הוא שטיפל במתלוננת ביום האירוע.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16.</w:t>
      </w:r>
      <w:r w:rsidRPr="000543FD">
        <w:rPr>
          <w:rFonts w:ascii="David" w:eastAsia="Times New Roman" w:hAnsi="David" w:cs="David"/>
          <w:sz w:val="24"/>
          <w:szCs w:val="24"/>
          <w:rtl/>
        </w:rPr>
        <w:tab/>
      </w:r>
      <w:r w:rsidRPr="000543FD">
        <w:rPr>
          <w:rFonts w:ascii="David" w:eastAsia="Times New Roman" w:hAnsi="David" w:cs="David"/>
          <w:b/>
          <w:bCs/>
          <w:sz w:val="24"/>
          <w:szCs w:val="24"/>
          <w:rtl/>
        </w:rPr>
        <w:t>החוקר תומר פאול</w:t>
      </w:r>
      <w:r w:rsidRPr="000543FD">
        <w:rPr>
          <w:rFonts w:ascii="David" w:eastAsia="Times New Roman" w:hAnsi="David" w:cs="David"/>
          <w:sz w:val="24"/>
          <w:szCs w:val="24"/>
          <w:rtl/>
        </w:rPr>
        <w:t xml:space="preserve"> ליווה את הנאשמת יחד עם חשודה נוספת לדיון בבית משפט השלום. הוא העיד בנוגע למזכר שרשם לפיו בזמן ההמתנה הנאשמת והחשודה הנוספת שרו שירים לאומניים ומחאו כפיים, ואף השמיעו אמירות על השמדה צפויה של מדינת ישראל. נבהיר כבר עתה כי בין אם האירוע התרחש כפי שנטען, בין אם לאו, אין מדובר בעובדות הקשורות ישירות לאירוע נשוא כתב האישום, ולהערכתנו אין ליי</w:t>
      </w:r>
      <w:r w:rsidR="00D3503D">
        <w:rPr>
          <w:rFonts w:ascii="David" w:eastAsia="Times New Roman" w:hAnsi="David" w:cs="David"/>
          <w:sz w:val="24"/>
          <w:szCs w:val="24"/>
          <w:rtl/>
        </w:rPr>
        <w:t>חס לו משקל ראייתי ממשי. המזכר א</w:t>
      </w:r>
      <w:r w:rsidR="00D3503D">
        <w:rPr>
          <w:rFonts w:ascii="David" w:eastAsia="Times New Roman" w:hAnsi="David" w:cs="David" w:hint="cs"/>
          <w:sz w:val="24"/>
          <w:szCs w:val="24"/>
          <w:rtl/>
        </w:rPr>
        <w:t>ף</w:t>
      </w:r>
      <w:r w:rsidRPr="000543FD">
        <w:rPr>
          <w:rFonts w:ascii="David" w:eastAsia="Times New Roman" w:hAnsi="David" w:cs="David"/>
          <w:sz w:val="24"/>
          <w:szCs w:val="24"/>
          <w:rtl/>
        </w:rPr>
        <w:t xml:space="preserve"> לא הוגש במסגרת חומר הראיות המוסכם. לפיכך לא נרחיב את הדיבור לגביו.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17.</w:t>
      </w:r>
      <w:r w:rsidRPr="000543FD">
        <w:rPr>
          <w:rFonts w:ascii="David" w:eastAsia="Times New Roman" w:hAnsi="David" w:cs="David"/>
          <w:sz w:val="24"/>
          <w:szCs w:val="24"/>
          <w:rtl/>
        </w:rPr>
        <w:tab/>
      </w:r>
      <w:r w:rsidRPr="000543FD">
        <w:rPr>
          <w:rFonts w:ascii="David" w:eastAsia="Times New Roman" w:hAnsi="David" w:cs="David"/>
          <w:b/>
          <w:bCs/>
          <w:sz w:val="24"/>
          <w:szCs w:val="24"/>
          <w:rtl/>
        </w:rPr>
        <w:t>הנאשמת</w:t>
      </w:r>
      <w:r w:rsidRPr="000543FD">
        <w:rPr>
          <w:rFonts w:ascii="David" w:eastAsia="Times New Roman" w:hAnsi="David" w:cs="David"/>
          <w:sz w:val="24"/>
          <w:szCs w:val="24"/>
          <w:rtl/>
        </w:rPr>
        <w:t xml:space="preserve"> העידה בבית המשפט ושינתה את הגירסה שמסרה במשטרה. לטענתה היא התכוונה להכות את המתלוננת ולא לדקור אותה. גירסתה של הנאשמת, בחקירה במשטרה ובבית המשפט, תידון בפירוט בהמשך.</w:t>
      </w:r>
    </w:p>
    <w:p w:rsidR="000543FD" w:rsidRPr="000543FD" w:rsidRDefault="000543FD" w:rsidP="00491467">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ab/>
        <w:t>מטעם ההגנה העידה גם יועצת בית ספרה של הנאשמת, הגב'</w:t>
      </w:r>
      <w:r w:rsidR="00491467">
        <w:rPr>
          <w:rFonts w:ascii="David" w:eastAsia="Times New Roman" w:hAnsi="David" w:cs="David" w:hint="cs"/>
          <w:b/>
          <w:bCs/>
          <w:sz w:val="24"/>
          <w:szCs w:val="24"/>
          <w:rtl/>
        </w:rPr>
        <w:t xml:space="preserve"> </w:t>
      </w:r>
      <w:r w:rsidR="00491467" w:rsidRPr="00491467">
        <w:rPr>
          <w:rFonts w:ascii="David" w:eastAsia="Times New Roman" w:hAnsi="David" w:cs="David" w:hint="cs"/>
          <w:b/>
          <w:bCs/>
          <w:sz w:val="24"/>
          <w:szCs w:val="24"/>
          <w:highlight w:val="black"/>
          <w:rtl/>
        </w:rPr>
        <w:t>**********</w:t>
      </w:r>
      <w:r w:rsidRPr="000543FD">
        <w:rPr>
          <w:rFonts w:ascii="David" w:eastAsia="Times New Roman" w:hAnsi="David" w:cs="David"/>
          <w:sz w:val="24"/>
          <w:szCs w:val="24"/>
          <w:rtl/>
        </w:rPr>
        <w:t>, שהעידה כי</w:t>
      </w:r>
      <w:r w:rsidRPr="000543FD">
        <w:rPr>
          <w:rFonts w:ascii="David" w:eastAsia="Times New Roman" w:hAnsi="David" w:cs="David"/>
          <w:b/>
          <w:bCs/>
          <w:sz w:val="24"/>
          <w:szCs w:val="24"/>
          <w:rtl/>
        </w:rPr>
        <w:t xml:space="preserve"> </w:t>
      </w:r>
      <w:r w:rsidRPr="000543FD">
        <w:rPr>
          <w:rFonts w:ascii="David" w:eastAsia="Times New Roman" w:hAnsi="David" w:cs="David"/>
          <w:sz w:val="24"/>
          <w:szCs w:val="24"/>
          <w:rtl/>
        </w:rPr>
        <w:t xml:space="preserve"> נפגשה עם הנאשמת כשבועיים לפני האירוע. היועצת סיפרה על בעיות משמעת של הנאשמת, שברשותה נמצאו מוצרי איפור וטיפוח וכן סיגריה חשמלית, שכולם אסורים בבית הספר, והיא אף הושעתה מבית הספר למשך שלושה ימים. לדבריה הנאשמת הביעה בפניה רצון לעזוב את בית הספר וללמוד לתעודת בגרות ישראלית. עם זאת, היועצת הבהירה שלא שמעה מהנאשמת על מניע לאומני  או על רצונה למות, והבהירה כי מדובר בילדה ש"אוהבת את החיים" ו"חברות". מהעדות לא עלו מצוקות או בעיות חריגות שהנאשמת או משפחתה התמודדו עמן.</w:t>
      </w: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דיון והכרעה</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18.</w:t>
      </w:r>
      <w:r w:rsidRPr="000543FD">
        <w:rPr>
          <w:rFonts w:ascii="David" w:eastAsia="Times New Roman" w:hAnsi="David" w:cs="David"/>
          <w:sz w:val="24"/>
          <w:szCs w:val="24"/>
          <w:rtl/>
        </w:rPr>
        <w:tab/>
        <w:t xml:space="preserve">כאמור, הנאשמת אינה חולקת על עיקרי העובדות, על כך שעקבה אחר המתלוננת ודקרה אותה בסכין שבו הצטיידה מבעוד מועד. עובדות אלו אף נראות היטב בסרטונים שהוגשו, שאף הם אינם שנויים במחלוקת. לפיכך הדיון יתמקד בשאלת היסוד הנפשי הנדרש והתקיימותו במקרה הנדון. </w:t>
      </w: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lastRenderedPageBreak/>
        <w:t>ניסיון לרצח - הפן הנורמטיבי</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19.</w:t>
      </w:r>
      <w:r w:rsidRPr="000543FD">
        <w:rPr>
          <w:rFonts w:ascii="David" w:eastAsia="Times New Roman" w:hAnsi="David" w:cs="David"/>
          <w:sz w:val="24"/>
          <w:szCs w:val="24"/>
          <w:rtl/>
        </w:rPr>
        <w:tab/>
        <w:t xml:space="preserve">עבירת ניסיון לרצח מוגדרת בסעיף 305(1) לחוק: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ab/>
        <w:t>"</w:t>
      </w:r>
      <w:r w:rsidRPr="000543FD">
        <w:rPr>
          <w:rFonts w:ascii="David" w:eastAsia="Times New Roman" w:hAnsi="David" w:cs="David"/>
          <w:b/>
          <w:bCs/>
          <w:sz w:val="24"/>
          <w:szCs w:val="24"/>
          <w:rtl/>
        </w:rPr>
        <w:t>העושה אחת מאלה, דינו - מאסר עשרים שנים:  מנסה שלא כדין לגרום למותו של אדם</w:t>
      </w:r>
      <w:r w:rsidRPr="000543FD">
        <w:rPr>
          <w:rFonts w:ascii="David" w:eastAsia="Times New Roman" w:hAnsi="David" w:cs="David"/>
          <w:sz w:val="24"/>
          <w:szCs w:val="24"/>
          <w:rtl/>
        </w:rPr>
        <w:t>".</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בע"פ 3312/19 </w:t>
      </w:r>
      <w:r w:rsidRPr="000543FD">
        <w:rPr>
          <w:rFonts w:ascii="David" w:eastAsia="Times New Roman" w:hAnsi="David" w:cs="David"/>
          <w:b/>
          <w:bCs/>
          <w:sz w:val="24"/>
          <w:szCs w:val="24"/>
          <w:rtl/>
        </w:rPr>
        <w:t>מדינת ישראל נ' חאלד אבו גודה</w:t>
      </w:r>
      <w:r w:rsidRPr="000543FD">
        <w:rPr>
          <w:rFonts w:ascii="David" w:eastAsia="Times New Roman" w:hAnsi="David" w:cs="David"/>
          <w:sz w:val="24"/>
          <w:szCs w:val="24"/>
          <w:rtl/>
        </w:rPr>
        <w:t xml:space="preserve"> (22.1.23) נאמר, בפסקה 16 לפסק הדין, בהתייחס לעבירה של נסיון לרצח: </w:t>
      </w:r>
    </w:p>
    <w:p w:rsidR="000543FD" w:rsidRPr="000543FD" w:rsidRDefault="000543FD" w:rsidP="000543FD">
      <w:pPr>
        <w:spacing w:before="80" w:after="80" w:line="360" w:lineRule="auto"/>
        <w:ind w:left="850" w:right="567"/>
        <w:jc w:val="both"/>
        <w:rPr>
          <w:rFonts w:ascii="David" w:eastAsia="Times New Roman" w:hAnsi="David" w:cs="David"/>
          <w:b/>
          <w:bCs/>
          <w:sz w:val="24"/>
          <w:szCs w:val="24"/>
          <w:rtl/>
        </w:rPr>
      </w:pPr>
      <w:r w:rsidRPr="000543FD">
        <w:rPr>
          <w:rFonts w:ascii="David" w:eastAsia="Times New Roman" w:hAnsi="David" w:cs="David"/>
          <w:b/>
          <w:bCs/>
          <w:sz w:val="24"/>
          <w:szCs w:val="24"/>
          <w:rtl/>
        </w:rPr>
        <w:t>"מדובר בעבירת ניסיון 'עצמאית' ובכך ייחודה. עם זאת, נקבע בפסיקה זה מכבר כי הוראות החלק הכללי של החוק חלות גם על עבירה זו (</w:t>
      </w:r>
      <w:hyperlink r:id="rId6" w:history="1">
        <w:r w:rsidRPr="000543FD">
          <w:rPr>
            <w:rFonts w:ascii="David" w:eastAsia="Times New Roman" w:hAnsi="David" w:cs="David"/>
            <w:b/>
            <w:bCs/>
            <w:sz w:val="24"/>
            <w:szCs w:val="24"/>
            <w:rtl/>
          </w:rPr>
          <w:t>ע"פ 6468/13</w:t>
        </w:r>
      </w:hyperlink>
      <w:r w:rsidRPr="000543FD">
        <w:rPr>
          <w:rFonts w:ascii="David" w:eastAsia="Times New Roman" w:hAnsi="David" w:cs="David"/>
          <w:b/>
          <w:bCs/>
          <w:sz w:val="24"/>
          <w:szCs w:val="24"/>
          <w:rtl/>
        </w:rPr>
        <w:t xml:space="preserve"> צרפתי נ' מדינת ישראל, פסקה 38 (3.5.2015)‏). מבין אלו, ההוראה המשמעותית לענייננו היא הקבועה </w:t>
      </w:r>
      <w:hyperlink r:id="rId7" w:history="1">
        <w:r w:rsidRPr="000543FD">
          <w:rPr>
            <w:rFonts w:ascii="David" w:eastAsia="Times New Roman" w:hAnsi="David" w:cs="David"/>
            <w:b/>
            <w:bCs/>
            <w:sz w:val="24"/>
            <w:szCs w:val="24"/>
            <w:rtl/>
          </w:rPr>
          <w:t>בסעיף 25</w:t>
        </w:r>
      </w:hyperlink>
      <w:r w:rsidRPr="000543FD">
        <w:rPr>
          <w:rFonts w:ascii="David" w:eastAsia="Times New Roman" w:hAnsi="David" w:cs="David"/>
          <w:b/>
          <w:bCs/>
          <w:sz w:val="24"/>
          <w:szCs w:val="24"/>
          <w:rtl/>
        </w:rPr>
        <w:t xml:space="preserve"> לחוק המגדיר מהו ניסיון פלילי:</w:t>
      </w:r>
    </w:p>
    <w:p w:rsidR="000543FD" w:rsidRPr="000543FD" w:rsidRDefault="000543FD" w:rsidP="000543FD">
      <w:pPr>
        <w:spacing w:before="80" w:after="80" w:line="360" w:lineRule="auto"/>
        <w:ind w:left="850" w:right="567"/>
        <w:jc w:val="both"/>
        <w:rPr>
          <w:rFonts w:ascii="David" w:eastAsia="Times New Roman" w:hAnsi="David" w:cs="David"/>
          <w:b/>
          <w:bCs/>
          <w:sz w:val="24"/>
          <w:szCs w:val="24"/>
          <w:rtl/>
        </w:rPr>
      </w:pPr>
      <w:r w:rsidRPr="000543FD">
        <w:rPr>
          <w:rFonts w:ascii="David" w:eastAsia="Times New Roman" w:hAnsi="David" w:cs="David"/>
          <w:b/>
          <w:bCs/>
          <w:sz w:val="24"/>
          <w:szCs w:val="24"/>
          <w:rtl/>
        </w:rPr>
        <w:t xml:space="preserve">'אדם מנסה לעבור עבירה אם, במטרה לבצעה, עשה מעשה שאין בו הכנה בלבד והעבירה לא הושלמה'. </w:t>
      </w:r>
    </w:p>
    <w:p w:rsidR="000543FD" w:rsidRPr="000543FD" w:rsidRDefault="000543FD" w:rsidP="000543FD">
      <w:pPr>
        <w:spacing w:before="80" w:after="80" w:line="360" w:lineRule="auto"/>
        <w:ind w:left="850" w:right="567"/>
        <w:jc w:val="both"/>
        <w:rPr>
          <w:rFonts w:ascii="David" w:eastAsia="Times New Roman" w:hAnsi="David" w:cs="David"/>
          <w:sz w:val="24"/>
          <w:szCs w:val="24"/>
        </w:rPr>
      </w:pPr>
      <w:r w:rsidRPr="000543FD">
        <w:rPr>
          <w:rFonts w:ascii="David" w:eastAsia="Times New Roman" w:hAnsi="David" w:cs="David"/>
          <w:b/>
          <w:bCs/>
          <w:sz w:val="24"/>
          <w:szCs w:val="24"/>
          <w:rtl/>
        </w:rPr>
        <w:t>היסוד העובדתי בעבירת הניסיון לרצח מתגבש אפוא כאשר המעשה שבוצע יוצא מגדר פעולת הכנה גרידא לביצועה של העבירה המושלמת – עבירת הרצח בכוונת תחילה. באשר ליסוד הנפשי, נדרש כי המבצע עבר את העבירה 'במטרה לבצעה' בתוספת היסוד הנפשי של העבירה המוגמרת, קרי, כוונה תחילה.... ‏להשלמת התמונה יצוין, כי עבירה זו לא נכללה בתיקון 137 לחוק, הרפורמה בעבירות המתה, ובחינתה לצורך העניין נותרה כפי שהייתה עובר לרפורמה (</w:t>
      </w:r>
      <w:hyperlink r:id="rId8" w:history="1">
        <w:r w:rsidRPr="000543FD">
          <w:rPr>
            <w:rFonts w:ascii="David" w:eastAsia="Times New Roman" w:hAnsi="David" w:cs="David"/>
            <w:b/>
            <w:bCs/>
            <w:sz w:val="24"/>
            <w:szCs w:val="24"/>
            <w:rtl/>
          </w:rPr>
          <w:t>ע"פ 2377/19</w:t>
        </w:r>
      </w:hyperlink>
      <w:r w:rsidRPr="000543FD">
        <w:rPr>
          <w:rFonts w:ascii="David" w:eastAsia="Times New Roman" w:hAnsi="David" w:cs="David"/>
          <w:b/>
          <w:bCs/>
          <w:sz w:val="24"/>
          <w:szCs w:val="24"/>
          <w:rtl/>
        </w:rPr>
        <w:t xml:space="preserve"> אפגאני נ' מדינת ישראל, פסקה 17 (22.5.2022))".</w:t>
      </w:r>
    </w:p>
    <w:p w:rsidR="000543FD" w:rsidRPr="000543FD" w:rsidRDefault="000543FD" w:rsidP="000543FD">
      <w:pPr>
        <w:spacing w:before="80" w:after="80" w:line="360" w:lineRule="auto"/>
        <w:ind w:left="850" w:right="567"/>
        <w:jc w:val="both"/>
        <w:rPr>
          <w:rFonts w:ascii="David" w:eastAsia="Times New Roman" w:hAnsi="David" w:cs="David"/>
          <w:sz w:val="24"/>
          <w:szCs w:val="24"/>
          <w:rtl/>
        </w:rPr>
      </w:pPr>
    </w:p>
    <w:p w:rsidR="000543FD" w:rsidRPr="000543FD" w:rsidRDefault="000543FD" w:rsidP="000543FD">
      <w:pPr>
        <w:tabs>
          <w:tab w:val="left" w:pos="8505"/>
        </w:tabs>
        <w:spacing w:before="80" w:after="80" w:line="360" w:lineRule="auto"/>
        <w:ind w:firstLine="850"/>
        <w:jc w:val="both"/>
        <w:rPr>
          <w:rFonts w:ascii="David" w:eastAsia="Times New Roman" w:hAnsi="David" w:cs="David"/>
          <w:sz w:val="24"/>
          <w:szCs w:val="24"/>
          <w:rtl/>
        </w:rPr>
      </w:pPr>
      <w:r w:rsidRPr="000543FD">
        <w:rPr>
          <w:rFonts w:ascii="David" w:eastAsia="Times New Roman" w:hAnsi="David" w:cs="David"/>
          <w:sz w:val="24"/>
          <w:szCs w:val="24"/>
          <w:rtl/>
        </w:rPr>
        <w:t xml:space="preserve">בע"פ 2377/19 </w:t>
      </w:r>
      <w:r w:rsidRPr="000543FD">
        <w:rPr>
          <w:rFonts w:ascii="David" w:eastAsia="Times New Roman" w:hAnsi="David" w:cs="David"/>
          <w:b/>
          <w:bCs/>
          <w:sz w:val="24"/>
          <w:szCs w:val="24"/>
          <w:rtl/>
        </w:rPr>
        <w:t>עאישה אפגאני נ' מדינת ישראל</w:t>
      </w:r>
      <w:r w:rsidRPr="000543FD">
        <w:rPr>
          <w:rFonts w:ascii="David" w:eastAsia="Times New Roman" w:hAnsi="David" w:cs="David"/>
          <w:sz w:val="24"/>
          <w:szCs w:val="24"/>
          <w:rtl/>
        </w:rPr>
        <w:t xml:space="preserve"> (22.5.22), (להלן: "עניין </w:t>
      </w:r>
      <w:r w:rsidRPr="000543FD">
        <w:rPr>
          <w:rFonts w:ascii="David" w:eastAsia="Times New Roman" w:hAnsi="David" w:cs="David"/>
          <w:b/>
          <w:bCs/>
          <w:sz w:val="24"/>
          <w:szCs w:val="24"/>
          <w:rtl/>
        </w:rPr>
        <w:t>אפגאני"</w:t>
      </w:r>
      <w:r w:rsidRPr="000543FD">
        <w:rPr>
          <w:rFonts w:ascii="David" w:eastAsia="Times New Roman" w:hAnsi="David" w:cs="David"/>
          <w:sz w:val="24"/>
          <w:szCs w:val="24"/>
          <w:rtl/>
        </w:rPr>
        <w:t xml:space="preserve">) פיסקה 17, נקבע: </w:t>
      </w:r>
    </w:p>
    <w:p w:rsidR="000543FD" w:rsidRPr="000543FD" w:rsidRDefault="000543FD" w:rsidP="000543FD">
      <w:pPr>
        <w:spacing w:before="80" w:after="80" w:line="360" w:lineRule="auto"/>
        <w:ind w:left="850" w:right="567"/>
        <w:jc w:val="both"/>
        <w:rPr>
          <w:rFonts w:ascii="David" w:eastAsia="Times New Roman" w:hAnsi="David" w:cs="David"/>
          <w:sz w:val="24"/>
          <w:szCs w:val="24"/>
          <w:rtl/>
        </w:rPr>
      </w:pPr>
      <w:r w:rsidRPr="000543FD">
        <w:rPr>
          <w:rFonts w:ascii="David" w:eastAsia="Times New Roman" w:hAnsi="David" w:cs="David"/>
          <w:sz w:val="24"/>
          <w:szCs w:val="24"/>
          <w:rtl/>
        </w:rPr>
        <w:t>"</w:t>
      </w:r>
      <w:r w:rsidRPr="000543FD">
        <w:rPr>
          <w:rFonts w:ascii="David" w:eastAsia="Times New Roman" w:hAnsi="David" w:cs="David"/>
          <w:b/>
          <w:bCs/>
          <w:sz w:val="24"/>
          <w:szCs w:val="24"/>
          <w:rtl/>
        </w:rPr>
        <w:t>אשר ליסוד הנפשי, מאחר שעבירת הניסיון לרצח, שהיא עבירה עצמאית המעוגנת בסעיף 305 לחוק, לא נכללה בתיקון 137 לחוק – הרפורמה בעבירות המתה, בחינתה לצורך העניין נותרה כפי שהייתה, ולפיכך לצורך הרשעה בניסיון לרצח יש להוכיח את היסוד הנפשי הנדרש לעבירת הרצח כבעבר – יסוד ה"כוונה תחילה" בצירוף היסוד הנפשי הנדרש לצורך הרשעה בעבירת ניסיון – כי המעשה נעשה ב"מטרה לבצע" את העבירה (סעיף 25 לחוק). ליסוד "הכוונה תחילה" שלושה מרכיבים: החלטה להמית, הכנה והעדר קינטור</w:t>
      </w:r>
      <w:r w:rsidRPr="000543FD">
        <w:rPr>
          <w:rFonts w:ascii="David" w:eastAsia="Times New Roman" w:hAnsi="David" w:cs="David"/>
          <w:sz w:val="24"/>
          <w:szCs w:val="24"/>
          <w:rtl/>
        </w:rPr>
        <w:t xml:space="preserve">...".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20.</w:t>
      </w:r>
      <w:r w:rsidRPr="000543FD">
        <w:rPr>
          <w:rFonts w:ascii="David" w:eastAsia="Times New Roman" w:hAnsi="David" w:cs="David"/>
          <w:sz w:val="24"/>
          <w:szCs w:val="24"/>
          <w:rtl/>
        </w:rPr>
        <w:tab/>
        <w:t xml:space="preserve">בבואנו לדון ביסוד הנפשי שבמעשיה של הנאשמת, עומדים בפנינו גם הכללים הבסיסים וההנחות שהוכרו בפסיקה בדין הפלילי הכללי. אחת מהן היא חזקת הכוונה, הקובעת כי </w:t>
      </w:r>
      <w:r w:rsidRPr="000543FD">
        <w:rPr>
          <w:rFonts w:ascii="David" w:eastAsia="Times New Roman" w:hAnsi="David" w:cs="David"/>
          <w:b/>
          <w:bCs/>
          <w:sz w:val="24"/>
          <w:szCs w:val="24"/>
          <w:rtl/>
        </w:rPr>
        <w:t>"אדם בר-דעת הפועל מרצון חופשי מתכוון להביא לתוצאות הטבעיות של מעשהו</w:t>
      </w:r>
      <w:r w:rsidRPr="000543FD">
        <w:rPr>
          <w:rFonts w:ascii="David" w:eastAsia="Times New Roman" w:hAnsi="David" w:cs="David"/>
          <w:sz w:val="24"/>
          <w:szCs w:val="24"/>
          <w:rtl/>
        </w:rPr>
        <w:t>". (ראו לדוגמא: ע"פ 2418/17</w:t>
      </w:r>
      <w:r w:rsidRPr="000543FD">
        <w:rPr>
          <w:rFonts w:ascii="David" w:eastAsia="Times New Roman" w:hAnsi="David" w:cs="David"/>
          <w:b/>
          <w:bCs/>
          <w:sz w:val="24"/>
          <w:szCs w:val="24"/>
          <w:rtl/>
        </w:rPr>
        <w:t xml:space="preserve"> </w:t>
      </w:r>
      <w:r w:rsidRPr="000543FD">
        <w:rPr>
          <w:rFonts w:ascii="David" w:eastAsia="Times New Roman" w:hAnsi="David" w:cs="David"/>
          <w:b/>
          <w:bCs/>
          <w:sz w:val="24"/>
          <w:szCs w:val="24"/>
          <w:rtl/>
        </w:rPr>
        <w:lastRenderedPageBreak/>
        <w:t xml:space="preserve">קוטינה נ' מדינת ישראל, פסקה 16 (‏25.10.18);  והאסמכתאות המובאות שם (להלן: </w:t>
      </w:r>
      <w:r w:rsidR="00D3503D">
        <w:rPr>
          <w:rFonts w:ascii="David" w:eastAsia="Times New Roman" w:hAnsi="David" w:cs="David" w:hint="cs"/>
          <w:b/>
          <w:bCs/>
          <w:sz w:val="24"/>
          <w:szCs w:val="24"/>
          <w:rtl/>
        </w:rPr>
        <w:t>"</w:t>
      </w:r>
      <w:r w:rsidRPr="000543FD">
        <w:rPr>
          <w:rFonts w:ascii="David" w:eastAsia="Times New Roman" w:hAnsi="David" w:cs="David"/>
          <w:b/>
          <w:bCs/>
          <w:sz w:val="24"/>
          <w:szCs w:val="24"/>
          <w:rtl/>
        </w:rPr>
        <w:t>עניין קוטינה</w:t>
      </w:r>
      <w:r w:rsidR="00D3503D">
        <w:rPr>
          <w:rFonts w:ascii="David" w:eastAsia="Times New Roman" w:hAnsi="David" w:cs="David" w:hint="cs"/>
          <w:b/>
          <w:bCs/>
          <w:sz w:val="24"/>
          <w:szCs w:val="24"/>
          <w:rtl/>
        </w:rPr>
        <w:t>"</w:t>
      </w:r>
      <w:r w:rsidRPr="000543FD">
        <w:rPr>
          <w:rFonts w:ascii="David" w:eastAsia="Times New Roman" w:hAnsi="David" w:cs="David"/>
          <w:b/>
          <w:bCs/>
          <w:sz w:val="24"/>
          <w:szCs w:val="24"/>
          <w:rtl/>
        </w:rPr>
        <w:t>))</w:t>
      </w:r>
    </w:p>
    <w:p w:rsidR="000543FD" w:rsidRPr="000543FD" w:rsidRDefault="000543FD" w:rsidP="000543FD">
      <w:pPr>
        <w:tabs>
          <w:tab w:val="left" w:pos="7938"/>
        </w:tabs>
        <w:spacing w:before="24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חזקה נוספת היא הלכת הצפיות, המניחה כי אדם מתכוון לתוצאות הטבעיות של מעשיו (ראו עניין קוטינה הנ"ל פסקה 15; ע"פ 5184/14 פלוני נ' מדינת ישראל (03.08.16); ע"פ 3652/14 </w:t>
      </w:r>
      <w:r w:rsidRPr="000543FD">
        <w:rPr>
          <w:rFonts w:ascii="David" w:eastAsia="Times New Roman" w:hAnsi="David" w:cs="David"/>
          <w:b/>
          <w:bCs/>
          <w:sz w:val="24"/>
          <w:szCs w:val="24"/>
          <w:rtl/>
        </w:rPr>
        <w:t>מוחמד כנעאני נ' מדינת ישראל</w:t>
      </w:r>
      <w:r w:rsidRPr="000543FD">
        <w:rPr>
          <w:rFonts w:ascii="David" w:eastAsia="Times New Roman" w:hAnsi="David" w:cs="David"/>
          <w:sz w:val="24"/>
          <w:szCs w:val="24"/>
          <w:rtl/>
        </w:rPr>
        <w:t xml:space="preserve"> (28.12.15) פסקה 66).</w:t>
      </w:r>
    </w:p>
    <w:p w:rsidR="000543FD" w:rsidRPr="000543FD" w:rsidRDefault="000543FD" w:rsidP="000543FD">
      <w:pPr>
        <w:spacing w:before="80" w:after="80" w:line="360" w:lineRule="auto"/>
        <w:jc w:val="both"/>
        <w:rPr>
          <w:rFonts w:ascii="David" w:eastAsia="Times New Roman" w:hAnsi="David" w:cs="David"/>
          <w:color w:val="FF0000"/>
          <w:sz w:val="24"/>
          <w:szCs w:val="24"/>
          <w:rtl/>
        </w:rPr>
      </w:pPr>
      <w:r w:rsidRPr="000543FD">
        <w:rPr>
          <w:rFonts w:ascii="David" w:eastAsia="Times New Roman" w:hAnsi="David" w:cs="David"/>
          <w:sz w:val="24"/>
          <w:szCs w:val="24"/>
          <w:rtl/>
        </w:rPr>
        <w:t>21.</w:t>
      </w:r>
      <w:r w:rsidRPr="000543FD">
        <w:rPr>
          <w:rFonts w:ascii="David" w:eastAsia="Times New Roman" w:hAnsi="David" w:cs="David"/>
          <w:sz w:val="24"/>
          <w:szCs w:val="24"/>
          <w:rtl/>
        </w:rPr>
        <w:tab/>
        <w:t xml:space="preserve">בפסיקה התפתחו קווים מנחים המציעים מבחנים ואינדיקציות לנסיבות בהם מתקיימת כוונה להמית. נביא מאלה הרלוונטיים לענייננו: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בע"פ 241/17 </w:t>
      </w:r>
      <w:r w:rsidRPr="000543FD">
        <w:rPr>
          <w:rFonts w:ascii="David" w:eastAsia="Times New Roman" w:hAnsi="David" w:cs="David"/>
          <w:b/>
          <w:bCs/>
          <w:sz w:val="24"/>
          <w:szCs w:val="24"/>
          <w:rtl/>
        </w:rPr>
        <w:t xml:space="preserve">פלוני נ' מדינת ישראל </w:t>
      </w:r>
      <w:r w:rsidRPr="000543FD">
        <w:rPr>
          <w:rFonts w:ascii="David" w:eastAsia="Times New Roman" w:hAnsi="David" w:cs="David"/>
          <w:sz w:val="24"/>
          <w:szCs w:val="24"/>
          <w:rtl/>
        </w:rPr>
        <w:t xml:space="preserve">(16.7.19) פסקה 28 נקבע כי </w:t>
      </w:r>
      <w:r w:rsidRPr="000543FD">
        <w:rPr>
          <w:rFonts w:ascii="David" w:eastAsia="Times New Roman" w:hAnsi="David" w:cs="David"/>
          <w:b/>
          <w:bCs/>
          <w:sz w:val="24"/>
          <w:szCs w:val="24"/>
          <w:rtl/>
        </w:rPr>
        <w:t>"תקיפה אגרסיבית אשר כללה דקירות מרובות וחתכים במקומו גוף רגישים כמו צוואר, חזה, גב ובטן, מעידה כמאה עדים על כוונתו להמית את המתלוננת</w:t>
      </w:r>
      <w:r w:rsidRPr="000543FD">
        <w:rPr>
          <w:rFonts w:ascii="David" w:eastAsia="Times New Roman" w:hAnsi="David" w:cs="David"/>
          <w:sz w:val="24"/>
          <w:szCs w:val="24"/>
          <w:rtl/>
        </w:rPr>
        <w:t xml:space="preserve">".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בע"פ 2202/08 </w:t>
      </w:r>
      <w:r w:rsidRPr="000543FD">
        <w:rPr>
          <w:rFonts w:ascii="David" w:eastAsia="Times New Roman" w:hAnsi="David" w:cs="David"/>
          <w:b/>
          <w:bCs/>
          <w:sz w:val="24"/>
          <w:szCs w:val="24"/>
          <w:rtl/>
        </w:rPr>
        <w:t>יבגני פסקו נ' מדינת ישראל</w:t>
      </w:r>
      <w:r w:rsidRPr="000543FD">
        <w:rPr>
          <w:rFonts w:ascii="David" w:eastAsia="Times New Roman" w:hAnsi="David" w:cs="David"/>
          <w:sz w:val="24"/>
          <w:szCs w:val="24"/>
          <w:rtl/>
        </w:rPr>
        <w:t xml:space="preserve"> (7.3.12) (להלן: </w:t>
      </w:r>
      <w:r w:rsidRPr="000543FD">
        <w:rPr>
          <w:rFonts w:ascii="David" w:eastAsia="Times New Roman" w:hAnsi="David" w:cs="David"/>
          <w:b/>
          <w:bCs/>
          <w:sz w:val="24"/>
          <w:szCs w:val="24"/>
          <w:rtl/>
        </w:rPr>
        <w:t>עניין</w:t>
      </w:r>
      <w:r w:rsidRPr="000543FD">
        <w:rPr>
          <w:rFonts w:ascii="David" w:eastAsia="Times New Roman" w:hAnsi="David" w:cs="David"/>
          <w:sz w:val="24"/>
          <w:szCs w:val="24"/>
          <w:rtl/>
        </w:rPr>
        <w:t xml:space="preserve"> </w:t>
      </w:r>
      <w:r w:rsidRPr="000543FD">
        <w:rPr>
          <w:rFonts w:ascii="David" w:eastAsia="Times New Roman" w:hAnsi="David" w:cs="David"/>
          <w:b/>
          <w:bCs/>
          <w:sz w:val="24"/>
          <w:szCs w:val="24"/>
          <w:rtl/>
        </w:rPr>
        <w:t>פסקו</w:t>
      </w:r>
      <w:r w:rsidRPr="000543FD">
        <w:rPr>
          <w:rFonts w:ascii="David" w:eastAsia="Times New Roman" w:hAnsi="David" w:cs="David"/>
          <w:sz w:val="24"/>
          <w:szCs w:val="24"/>
        </w:rPr>
        <w:t>(</w:t>
      </w:r>
      <w:r w:rsidRPr="000543FD">
        <w:rPr>
          <w:rFonts w:ascii="David" w:eastAsia="Times New Roman" w:hAnsi="David" w:cs="David"/>
          <w:sz w:val="24"/>
          <w:szCs w:val="24"/>
          <w:rtl/>
        </w:rPr>
        <w:t xml:space="preserve">, פיסקה 41, נקבע כי </w:t>
      </w:r>
      <w:r w:rsidRPr="000543FD">
        <w:rPr>
          <w:rFonts w:ascii="David" w:eastAsia="Times New Roman" w:hAnsi="David" w:cs="David"/>
          <w:b/>
          <w:bCs/>
          <w:sz w:val="24"/>
          <w:szCs w:val="24"/>
          <w:rtl/>
        </w:rPr>
        <w:t>"כידוע, פגיעה באיזור רגיש בגופו של הקורבן עשויה להוות אינדיקציה לקיומה של כוונה להמית, אף כאשר מדובר בפגיעה אחת בלבד</w:t>
      </w:r>
      <w:r w:rsidRPr="000543FD">
        <w:rPr>
          <w:rFonts w:ascii="David" w:eastAsia="Times New Roman" w:hAnsi="David" w:cs="David"/>
          <w:sz w:val="24"/>
          <w:szCs w:val="24"/>
          <w:rtl/>
        </w:rPr>
        <w:t>". במקרה זה מדובר בדקירה יחידה שחדרה לליבו של המנוח וגרמה למותו המיידי. פסק דין זה הסתמך, בין היתר, על האמור ב</w:t>
      </w:r>
      <w:hyperlink r:id="rId9" w:history="1">
        <w:r w:rsidRPr="000543FD">
          <w:rPr>
            <w:rFonts w:ascii="David" w:eastAsia="Times New Roman" w:hAnsi="David" w:cs="David"/>
            <w:sz w:val="24"/>
            <w:szCs w:val="24"/>
            <w:rtl/>
          </w:rPr>
          <w:t xml:space="preserve">ע"פ 228/01, </w:t>
        </w:r>
        <w:r w:rsidRPr="000543FD">
          <w:rPr>
            <w:rFonts w:ascii="David" w:eastAsia="Times New Roman" w:hAnsi="David" w:cs="David"/>
            <w:b/>
            <w:bCs/>
            <w:sz w:val="24"/>
            <w:szCs w:val="24"/>
            <w:rtl/>
          </w:rPr>
          <w:t>יעקב כלב נ' מדינת ישראל</w:t>
        </w:r>
        <w:r w:rsidRPr="000543FD">
          <w:rPr>
            <w:rFonts w:ascii="David" w:eastAsia="Times New Roman" w:hAnsi="David" w:cs="David"/>
            <w:sz w:val="24"/>
            <w:szCs w:val="24"/>
            <w:rtl/>
          </w:rPr>
          <w:t>, פ"ד נז</w:t>
        </w:r>
      </w:hyperlink>
      <w:r w:rsidRPr="000543FD">
        <w:rPr>
          <w:rFonts w:ascii="David" w:eastAsia="Times New Roman" w:hAnsi="David" w:cs="David"/>
          <w:sz w:val="24"/>
          <w:szCs w:val="24"/>
          <w:rtl/>
        </w:rPr>
        <w:t xml:space="preserve">(5) 365, 377 (2003). באותו מקרה היכה המערער את המנוח בראשו פעמיים באמצעות אלה כבדה מעץ מלא שהיא "כלי רצחני", לראשו של המנוח שהוא אזור רגיש ומסוכן ביותר. נקבע כי בנסיבות אלו התוצאה ידועה מראש, וחזקת הכוונה אשר לא נסתרה מצביעה על קיומה של כוונה קרה ומושכלת להמית את המנוח.  </w:t>
      </w:r>
    </w:p>
    <w:p w:rsidR="000543FD" w:rsidRPr="000543FD" w:rsidRDefault="000543FD" w:rsidP="000543FD">
      <w:pPr>
        <w:spacing w:before="80" w:after="80" w:line="360" w:lineRule="auto"/>
        <w:jc w:val="both"/>
        <w:rPr>
          <w:rFonts w:ascii="David" w:eastAsia="Times New Roman" w:hAnsi="David" w:cs="David"/>
          <w:color w:val="FF0000"/>
          <w:sz w:val="24"/>
          <w:szCs w:val="24"/>
          <w:rtl/>
        </w:rPr>
      </w:pPr>
      <w:r w:rsidRPr="000543FD">
        <w:rPr>
          <w:rFonts w:ascii="David" w:eastAsia="Times New Roman" w:hAnsi="David" w:cs="David"/>
          <w:sz w:val="24"/>
          <w:szCs w:val="24"/>
          <w:rtl/>
        </w:rPr>
        <w:t>22.</w:t>
      </w:r>
      <w:r w:rsidRPr="000543FD">
        <w:rPr>
          <w:rFonts w:ascii="David" w:eastAsia="Times New Roman" w:hAnsi="David" w:cs="David"/>
          <w:sz w:val="24"/>
          <w:szCs w:val="24"/>
          <w:rtl/>
        </w:rPr>
        <w:tab/>
        <w:t xml:space="preserve">בע"פ 437/13 </w:t>
      </w:r>
      <w:r w:rsidRPr="000543FD">
        <w:rPr>
          <w:rFonts w:ascii="David" w:eastAsia="Times New Roman" w:hAnsi="David" w:cs="David"/>
          <w:b/>
          <w:bCs/>
          <w:sz w:val="24"/>
          <w:szCs w:val="24"/>
          <w:rtl/>
        </w:rPr>
        <w:t>אברהם אלחייני נ' מדינת ישראל</w:t>
      </w:r>
      <w:r w:rsidRPr="000543FD">
        <w:rPr>
          <w:rFonts w:ascii="David" w:eastAsia="Times New Roman" w:hAnsi="David" w:cs="David"/>
          <w:sz w:val="24"/>
          <w:szCs w:val="24"/>
          <w:rtl/>
        </w:rPr>
        <w:t xml:space="preserve"> (24.8.15) פסקה 36, נפסק כי</w:t>
      </w:r>
      <w:r w:rsidRPr="000543FD">
        <w:rPr>
          <w:rFonts w:ascii="David" w:eastAsia="Times New Roman" w:hAnsi="David" w:cs="David"/>
          <w:color w:val="FF0000"/>
          <w:sz w:val="24"/>
          <w:szCs w:val="24"/>
          <w:rtl/>
        </w:rPr>
        <w:t xml:space="preserve"> </w:t>
      </w:r>
    </w:p>
    <w:p w:rsidR="000543FD" w:rsidRPr="000543FD" w:rsidRDefault="000543FD" w:rsidP="000543FD">
      <w:pPr>
        <w:spacing w:before="80" w:after="80" w:line="360" w:lineRule="auto"/>
        <w:ind w:left="708" w:right="709"/>
        <w:jc w:val="both"/>
        <w:rPr>
          <w:rFonts w:ascii="David" w:eastAsia="Times New Roman" w:hAnsi="David" w:cs="David"/>
          <w:b/>
          <w:bCs/>
          <w:sz w:val="24"/>
          <w:szCs w:val="24"/>
        </w:rPr>
      </w:pPr>
      <w:r w:rsidRPr="000543FD">
        <w:rPr>
          <w:rFonts w:ascii="David" w:eastAsia="Times New Roman" w:hAnsi="David" w:cs="David"/>
          <w:b/>
          <w:bCs/>
          <w:sz w:val="24"/>
          <w:szCs w:val="24"/>
          <w:rtl/>
        </w:rPr>
        <w:t>"כעולה מפסיקתו של בית משפט זה, קיימים מספר נתונים עובדתיים שיש לבחון על מנת לבסס, או למצער לחזק, בהיעדר הסבר אחר המניח את הדעת, את ההנחה בדבר החלטתו של הנאשם להמית את קורבנו. בין היתר, יש ליתן את הדעת לאופן ביצוע ההמתה; לאמצעי ששימש לשם ביצועה; למיקום הפגיעה בקורבן; ולמספר הפגיעות בו (עניין אבו סרחאן</w:t>
      </w:r>
      <w:r w:rsidRPr="000543FD">
        <w:rPr>
          <w:rFonts w:ascii="David" w:eastAsia="Times New Roman" w:hAnsi="David" w:cs="David"/>
          <w:b/>
          <w:bCs/>
          <w:sz w:val="24"/>
          <w:szCs w:val="24"/>
        </w:rPr>
        <w:t xml:space="preserve">, </w:t>
      </w:r>
      <w:r w:rsidRPr="000543FD">
        <w:rPr>
          <w:rFonts w:ascii="David" w:eastAsia="Times New Roman" w:hAnsi="David" w:cs="David"/>
          <w:b/>
          <w:bCs/>
          <w:sz w:val="24"/>
          <w:szCs w:val="24"/>
          <w:rtl/>
        </w:rPr>
        <w:t>בפסקה 61; עניין מחאמיד</w:t>
      </w:r>
      <w:r w:rsidRPr="000543FD">
        <w:rPr>
          <w:rFonts w:ascii="David" w:eastAsia="Times New Roman" w:hAnsi="David" w:cs="David"/>
          <w:b/>
          <w:bCs/>
          <w:sz w:val="24"/>
          <w:szCs w:val="24"/>
        </w:rPr>
        <w:t xml:space="preserve">, </w:t>
      </w:r>
      <w:r w:rsidRPr="000543FD">
        <w:rPr>
          <w:rFonts w:ascii="David" w:eastAsia="Times New Roman" w:hAnsi="David" w:cs="David"/>
          <w:b/>
          <w:bCs/>
          <w:sz w:val="24"/>
          <w:szCs w:val="24"/>
          <w:rtl/>
        </w:rPr>
        <w:t>בפסקה 29; עניין אגבריה</w:t>
      </w:r>
      <w:r w:rsidRPr="000543FD">
        <w:rPr>
          <w:rFonts w:ascii="David" w:eastAsia="Times New Roman" w:hAnsi="David" w:cs="David"/>
          <w:b/>
          <w:bCs/>
          <w:sz w:val="24"/>
          <w:szCs w:val="24"/>
        </w:rPr>
        <w:t xml:space="preserve">, </w:t>
      </w:r>
      <w:r w:rsidRPr="000543FD">
        <w:rPr>
          <w:rFonts w:ascii="David" w:eastAsia="Times New Roman" w:hAnsi="David" w:cs="David"/>
          <w:b/>
          <w:bCs/>
          <w:sz w:val="24"/>
          <w:szCs w:val="24"/>
          <w:rtl/>
        </w:rPr>
        <w:t>בפסקה 28). כך למשל, פגיעה באיזור חיוני בגופו של הקורבן עשויה להוות אינדיקציה לקיומה של החלטה להמית, אף כאשר מדובר בפגיעה אחת בלבד</w:t>
      </w:r>
      <w:r w:rsidRPr="000543FD">
        <w:rPr>
          <w:rFonts w:ascii="David" w:eastAsia="Times New Roman" w:hAnsi="David" w:cs="David"/>
          <w:b/>
          <w:bCs/>
          <w:sz w:val="24"/>
          <w:szCs w:val="24"/>
        </w:rPr>
        <w:t xml:space="preserve"> )</w:t>
      </w:r>
      <w:hyperlink r:id="rId10" w:history="1">
        <w:r w:rsidRPr="000543FD">
          <w:rPr>
            <w:rFonts w:ascii="David" w:eastAsia="Times New Roman" w:hAnsi="David" w:cs="David" w:hint="cs"/>
            <w:b/>
            <w:bCs/>
            <w:sz w:val="24"/>
            <w:szCs w:val="24"/>
            <w:rtl/>
          </w:rPr>
          <w:t>ע"פ 228/01 כלב נ' מדינת ישראל, פ"ד נז</w:t>
        </w:r>
      </w:hyperlink>
      <w:r w:rsidRPr="000543FD">
        <w:rPr>
          <w:rFonts w:ascii="David" w:eastAsia="Times New Roman" w:hAnsi="David" w:cs="David"/>
          <w:b/>
          <w:bCs/>
          <w:sz w:val="24"/>
          <w:szCs w:val="24"/>
        </w:rPr>
        <w:t xml:space="preserve">(5) 365, 377 (2003)) </w:t>
      </w:r>
      <w:r w:rsidRPr="000543FD">
        <w:rPr>
          <w:rFonts w:ascii="David" w:eastAsia="Times New Roman" w:hAnsi="David" w:cs="David"/>
          <w:b/>
          <w:bCs/>
          <w:sz w:val="24"/>
          <w:szCs w:val="24"/>
          <w:rtl/>
        </w:rPr>
        <w:t>. עוד נקבע, לא אחת, כי ההחלטה להמית יכולה להתגבש כתגובה ספונטנית ורגעית, ולאו דווקא כפועל יוצא של מחשבה או תכנון מוקדמים..."</w:t>
      </w:r>
      <w:r w:rsidR="00D3503D">
        <w:rPr>
          <w:rFonts w:ascii="David" w:eastAsia="Times New Roman" w:hAnsi="David" w:cs="David" w:hint="cs"/>
          <w:b/>
          <w:bCs/>
          <w:sz w:val="24"/>
          <w:szCs w:val="24"/>
          <w:rtl/>
        </w:rPr>
        <w:t>.</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23.</w:t>
      </w:r>
      <w:r w:rsidRPr="000543FD">
        <w:rPr>
          <w:rFonts w:ascii="David" w:eastAsia="Times New Roman" w:hAnsi="David" w:cs="David"/>
          <w:sz w:val="24"/>
          <w:szCs w:val="24"/>
          <w:rtl/>
        </w:rPr>
        <w:tab/>
        <w:t xml:space="preserve">בעניין </w:t>
      </w:r>
      <w:r w:rsidRPr="000543FD">
        <w:rPr>
          <w:rFonts w:ascii="David" w:eastAsia="Times New Roman" w:hAnsi="David" w:cs="David"/>
          <w:b/>
          <w:bCs/>
          <w:sz w:val="24"/>
          <w:szCs w:val="24"/>
          <w:rtl/>
        </w:rPr>
        <w:t>קוטינה הנ"ל</w:t>
      </w:r>
      <w:r w:rsidRPr="000543FD">
        <w:rPr>
          <w:rFonts w:ascii="David" w:eastAsia="Times New Roman" w:hAnsi="David" w:cs="David"/>
          <w:sz w:val="24"/>
          <w:szCs w:val="24"/>
          <w:rtl/>
        </w:rPr>
        <w:t xml:space="preserve"> נפסק, בסעיף 18 לפסק הדין, כי כאשר מדובר בפיגוע שיש בו חזרה על דפוס מוכר ו"שכפול" של אירועים דומים קודמים, אשר גרמו למותם של הקרבנות, יש בכך כדי להשפיע על ידיעתו ועל צפייתו של המבצע בדבר תוצאת המעשים: </w:t>
      </w:r>
    </w:p>
    <w:p w:rsidR="000543FD" w:rsidRPr="000543FD" w:rsidRDefault="000543FD" w:rsidP="000543FD">
      <w:pPr>
        <w:spacing w:before="80" w:after="80" w:line="360" w:lineRule="auto"/>
        <w:ind w:left="708" w:right="709"/>
        <w:jc w:val="both"/>
        <w:rPr>
          <w:rFonts w:ascii="David" w:eastAsia="Times New Roman" w:hAnsi="David" w:cs="David"/>
          <w:b/>
          <w:bCs/>
          <w:sz w:val="24"/>
          <w:szCs w:val="24"/>
          <w:rtl/>
        </w:rPr>
      </w:pPr>
      <w:r w:rsidRPr="000543FD">
        <w:rPr>
          <w:rFonts w:ascii="David" w:eastAsia="Times New Roman" w:hAnsi="David" w:cs="David"/>
          <w:b/>
          <w:bCs/>
          <w:sz w:val="24"/>
          <w:szCs w:val="24"/>
          <w:rtl/>
        </w:rPr>
        <w:lastRenderedPageBreak/>
        <w:t>"כפי שכבר אמרתי, המערער ביצע פיגוע ״משוכפל״ אשר הועתק מפיגועי דריסה אחרים. אשר על כן, המערער ידע — או לפחות צפה ברמת הסתברות גבוהה — כי פיגועים כאלה הורגים אנשים.... מותם של קורבנות בפיגועי דריסה איננו רק תוצאה מצמררת של מעשה אכזרי ובלתי אנושי. מדובר בתוצאה רגילה וטבעית של הפיגוע אשר חוסה בצילה של חזקת הכוונה".</w:t>
      </w:r>
    </w:p>
    <w:p w:rsidR="000543FD" w:rsidRPr="000543FD" w:rsidRDefault="000543FD" w:rsidP="000543FD">
      <w:pPr>
        <w:spacing w:before="80" w:after="80" w:line="360" w:lineRule="auto"/>
        <w:ind w:right="567"/>
        <w:jc w:val="both"/>
        <w:rPr>
          <w:rFonts w:ascii="David" w:eastAsia="Times New Roman" w:hAnsi="David" w:cs="David"/>
          <w:sz w:val="24"/>
          <w:szCs w:val="24"/>
          <w:rtl/>
        </w:rPr>
      </w:pPr>
      <w:r w:rsidRPr="000543FD">
        <w:rPr>
          <w:rFonts w:ascii="David" w:eastAsia="Times New Roman" w:hAnsi="David" w:cs="David"/>
          <w:sz w:val="24"/>
          <w:szCs w:val="24"/>
          <w:rtl/>
        </w:rPr>
        <w:t>24.</w:t>
      </w:r>
      <w:r w:rsidRPr="000543FD">
        <w:rPr>
          <w:rFonts w:ascii="David" w:eastAsia="Times New Roman" w:hAnsi="David" w:cs="David"/>
          <w:sz w:val="24"/>
          <w:szCs w:val="24"/>
          <w:rtl/>
        </w:rPr>
        <w:tab/>
        <w:t xml:space="preserve">על רקע זה, נעבור עתה לבחון את פרטי הראיות באירוע שבפנינו.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כאמור, אין מחלוקת על כך שבבוקר האירוע הנאשמת יצאה מביתה לאחר שהצטיידה בסכין, בדרכה לבית הספר הורידה את כיסוי הראש ולאחר מכן חבשה את כובע המעיל, עקבה אחר המתלוננת וילדיה שהלכו לתומם ברחוב, דקרה את המתלוננת בסכין ופגעה בה בגבה, בפלג הגוף העליון, בחתך שגרם לפציעה שטחית. המתלוננת הגיעה לבית החולים כשהסכין נעוץ עדיין בגבה.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p>
    <w:p w:rsidR="000543FD" w:rsidRPr="000543FD" w:rsidRDefault="000543FD" w:rsidP="000543FD">
      <w:pPr>
        <w:spacing w:before="80" w:after="80" w:line="360" w:lineRule="auto"/>
        <w:ind w:right="567"/>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הפציעה שנגרמה למתלוננת</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25.</w:t>
      </w:r>
      <w:r w:rsidRPr="000543FD">
        <w:rPr>
          <w:rFonts w:ascii="David" w:eastAsia="Times New Roman" w:hAnsi="David" w:cs="David"/>
          <w:sz w:val="24"/>
          <w:szCs w:val="24"/>
          <w:rtl/>
        </w:rPr>
        <w:tab/>
        <w:t>בדו"ח הרפואי של צוות מד"א שפינה את המתלוננת (ת/13) מיום 8.12.21 נכתב: "</w:t>
      </w:r>
      <w:r w:rsidRPr="000543FD">
        <w:rPr>
          <w:rFonts w:ascii="David" w:eastAsia="Times New Roman" w:hAnsi="David" w:cs="David"/>
          <w:b/>
          <w:bCs/>
          <w:sz w:val="24"/>
          <w:szCs w:val="24"/>
          <w:rtl/>
        </w:rPr>
        <w:t>בת 26 עמדה ברחוב עם ילדיה ונדקרה מאחור בסקפולה ימין מרווח בן צלעי 5-6, בהגיענו בהכרה מלאה, הסכין נעוצה, הושכבה מידית על הבטן תוך קיבוע הסכין במקום הדקירה. בהאזנה כניסת אויר תקינה דו צידית לחץ דם 160/99 דופק 110. יציבה לאורך הפינוי</w:t>
      </w:r>
      <w:r w:rsidRPr="000543FD">
        <w:rPr>
          <w:rFonts w:ascii="David" w:eastAsia="Times New Roman" w:hAnsi="David" w:cs="David"/>
          <w:sz w:val="24"/>
          <w:szCs w:val="24"/>
          <w:rtl/>
        </w:rPr>
        <w:t xml:space="preserve">".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במכתב השחרור מבית החולים מאותו יום נכתב: "</w:t>
      </w:r>
      <w:r w:rsidRPr="000543FD">
        <w:rPr>
          <w:rFonts w:ascii="David" w:eastAsia="Times New Roman" w:hAnsi="David" w:cs="David"/>
          <w:b/>
          <w:bCs/>
          <w:sz w:val="24"/>
          <w:szCs w:val="24"/>
          <w:rtl/>
        </w:rPr>
        <w:t xml:space="preserve">...בח. טראומה – הוכנס ליין ונלקחו בדיקות דם כמקובל. בבדיקה הסכין שטחית נעוצה בתת עור, יצא תחת בקרה. צל"ח – ללא עדות לחזה אויר/דם, ללא עדות לשברים, מדיאסטינום אינו מורחב. באקספולרציה – חתך שטחי בעומק של כחצי ס"מ אורך של כ 2 ס"מ. נשטפה ונסגרה עם 2 סיכות. קיבלה טטנוס וצפזולין בחדר הטראומה. </w:t>
      </w:r>
      <w:r w:rsidRPr="000543FD">
        <w:rPr>
          <w:rFonts w:ascii="David" w:eastAsia="Times New Roman" w:hAnsi="David" w:cs="David"/>
          <w:b/>
          <w:bCs/>
          <w:sz w:val="24"/>
          <w:szCs w:val="24"/>
        </w:rPr>
        <w:t>CT</w:t>
      </w:r>
      <w:r w:rsidRPr="000543FD">
        <w:rPr>
          <w:rFonts w:ascii="David" w:eastAsia="Times New Roman" w:hAnsi="David" w:cs="David"/>
          <w:b/>
          <w:bCs/>
          <w:sz w:val="24"/>
          <w:szCs w:val="24"/>
          <w:rtl/>
        </w:rPr>
        <w:t xml:space="preserve"> אנגיו חזה – ללא חבלה חודרת משמעותית. נשארה להשגחה במיון בת מספר שעות במהלכה הייתה תקינה המודינמית ונשימתית</w:t>
      </w:r>
      <w:r w:rsidRPr="000543FD">
        <w:rPr>
          <w:rFonts w:ascii="David" w:eastAsia="Times New Roman" w:hAnsi="David" w:cs="David"/>
          <w:sz w:val="24"/>
          <w:szCs w:val="24"/>
          <w:rtl/>
        </w:rPr>
        <w:t>". "</w:t>
      </w:r>
      <w:r w:rsidRPr="000543FD">
        <w:rPr>
          <w:rFonts w:ascii="David" w:eastAsia="Times New Roman" w:hAnsi="David" w:cs="David"/>
          <w:b/>
          <w:bCs/>
          <w:sz w:val="24"/>
          <w:szCs w:val="24"/>
          <w:rtl/>
        </w:rPr>
        <w:t>לסיכום: רושם לדקירה שטחית בגב, חתך של כ 2 ס"מ. ללא צורך בהמשך השגחה באשפוז...</w:t>
      </w:r>
      <w:r w:rsidRPr="000543FD">
        <w:rPr>
          <w:rFonts w:ascii="David" w:eastAsia="Times New Roman" w:hAnsi="David" w:cs="David"/>
          <w:sz w:val="24"/>
          <w:szCs w:val="24"/>
          <w:rtl/>
        </w:rPr>
        <w:t>" (ת/14א).</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26.</w:t>
      </w:r>
      <w:r w:rsidRPr="000543FD">
        <w:rPr>
          <w:rFonts w:ascii="David" w:eastAsia="Times New Roman" w:hAnsi="David" w:cs="David"/>
          <w:sz w:val="24"/>
          <w:szCs w:val="24"/>
          <w:rtl/>
        </w:rPr>
        <w:tab/>
        <w:t>ד"ר קופיאצקי שקיבל את המתלוננת וטיפל בה בחדר המיון העיד כי המתלוננת הגיעה לחדר המיון כשהסכין נעוץ עדיין בגבה (עמ' 13 ש' 15, 16). לדבריו הדיווח הראשוני על הגעת מטופלת עם סכין בגב העלה חשש שמדובר באירוע מסכן חיים:</w:t>
      </w:r>
      <w:r w:rsidRPr="000543FD">
        <w:rPr>
          <w:rFonts w:ascii="David" w:eastAsia="Times New Roman" w:hAnsi="David" w:cs="David"/>
          <w:b/>
          <w:bCs/>
          <w:sz w:val="24"/>
          <w:szCs w:val="24"/>
          <w:rtl/>
        </w:rPr>
        <w:t xml:space="preserve"> "ירדתי עם מנהל המחלקה הכירורגית, בנוסף לצוות הכירורגי, כי חשבנו שמדובר במקרה דרמטי, כל מטופל שמגיע עם חבלה חודרת לבית החזה, מתייחסים אליו שמדובר במצב מסכן חיים עד שיוכח אחרת</w:t>
      </w:r>
      <w:r w:rsidRPr="000543FD">
        <w:rPr>
          <w:rFonts w:ascii="David" w:eastAsia="Times New Roman" w:hAnsi="David" w:cs="David"/>
          <w:sz w:val="24"/>
          <w:szCs w:val="24"/>
          <w:rtl/>
        </w:rPr>
        <w:t xml:space="preserve">" (עמ' 14, ש' 1-2,4-7).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העד נשאל והבהיר, פעם אחר פעם, בחקירה הראשית והנגדית, כי חבלה חודרת בבית החזה עלולה לסכן חיים, והיחס לכל חבלה כזו הוא כאל חבלה מסכנת חיים עד לשלילת הסיכון: "</w:t>
      </w:r>
      <w:r w:rsidRPr="000543FD">
        <w:rPr>
          <w:rFonts w:ascii="David" w:eastAsia="Times New Roman" w:hAnsi="David" w:cs="David"/>
          <w:b/>
          <w:bCs/>
          <w:sz w:val="24"/>
          <w:szCs w:val="24"/>
          <w:rtl/>
        </w:rPr>
        <w:t>בית החזה מכיל איברים חיוניים לגוף, ביניהם הריאה, כלי דם גדולים ללב וכל חבלה שהיא חודרת לבית החזה –</w:t>
      </w:r>
      <w:r w:rsidRPr="000543FD">
        <w:rPr>
          <w:rFonts w:ascii="David" w:eastAsia="Times New Roman" w:hAnsi="David" w:cs="David"/>
          <w:sz w:val="24"/>
          <w:szCs w:val="24"/>
          <w:rtl/>
        </w:rPr>
        <w:t>" (עמ' 18, ש' 17-18). "</w:t>
      </w:r>
      <w:r w:rsidRPr="000543FD">
        <w:rPr>
          <w:rFonts w:ascii="David" w:eastAsia="Times New Roman" w:hAnsi="David" w:cs="David"/>
          <w:b/>
          <w:bCs/>
          <w:sz w:val="24"/>
          <w:szCs w:val="24"/>
          <w:rtl/>
        </w:rPr>
        <w:t xml:space="preserve">... אם הסכין הייתה ננעצת במיקום אחר יותר למטה, יותר למעלה, יכול </w:t>
      </w:r>
      <w:r w:rsidRPr="000543FD">
        <w:rPr>
          <w:rFonts w:ascii="David" w:eastAsia="Times New Roman" w:hAnsi="David" w:cs="David"/>
          <w:b/>
          <w:bCs/>
          <w:sz w:val="24"/>
          <w:szCs w:val="24"/>
          <w:rtl/>
        </w:rPr>
        <w:lastRenderedPageBreak/>
        <w:t>שלריאה היה נגרם נזק חמור יותר ואף לסכן חיים</w:t>
      </w:r>
      <w:r w:rsidRPr="000543FD">
        <w:rPr>
          <w:rFonts w:ascii="David" w:eastAsia="Times New Roman" w:hAnsi="David" w:cs="David"/>
          <w:sz w:val="24"/>
          <w:szCs w:val="24"/>
          <w:rtl/>
        </w:rPr>
        <w:t>" (עמ' 32, ש' 14-17). "</w:t>
      </w:r>
      <w:r w:rsidRPr="000543FD">
        <w:rPr>
          <w:rFonts w:ascii="David" w:eastAsia="Times New Roman" w:hAnsi="David" w:cs="David"/>
          <w:b/>
          <w:bCs/>
          <w:sz w:val="24"/>
          <w:szCs w:val="24"/>
          <w:rtl/>
        </w:rPr>
        <w:t>אנחנו מתייחסים לכל חבלה חודרת בבית החזה ככזו שעלולה לסכן חיים</w:t>
      </w:r>
      <w:r w:rsidRPr="000543FD">
        <w:rPr>
          <w:rFonts w:ascii="David" w:eastAsia="Times New Roman" w:hAnsi="David" w:cs="David"/>
          <w:sz w:val="24"/>
          <w:szCs w:val="24"/>
          <w:rtl/>
        </w:rPr>
        <w:t>" (עמ' 43, ש' 7). "</w:t>
      </w:r>
      <w:r w:rsidRPr="000543FD">
        <w:rPr>
          <w:rFonts w:ascii="David" w:eastAsia="Times New Roman" w:hAnsi="David" w:cs="David"/>
          <w:b/>
          <w:bCs/>
          <w:sz w:val="24"/>
          <w:szCs w:val="24"/>
          <w:rtl/>
        </w:rPr>
        <w:t>כמו שאני הסברתי מקודם, אם יש חשש לפגיעה באיבר עמוק, איבר בבית החזה, יכול להיות פגיעה מסכנת חיים, מבחינתי במקרה הנוכחי, ס"מ, 1.5 ס"מ, חצי ס"מ, הכול מגדיר לי תת עור, שבצילומים ובסיטי לא ראינו פגיעה באיברים עמוקים</w:t>
      </w:r>
      <w:r w:rsidRPr="000543FD">
        <w:rPr>
          <w:rFonts w:ascii="David" w:eastAsia="Times New Roman" w:hAnsi="David" w:cs="David"/>
          <w:sz w:val="24"/>
          <w:szCs w:val="24"/>
          <w:rtl/>
        </w:rPr>
        <w:t>" (עמ' 44, ש' 4-6).</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27.</w:t>
      </w:r>
      <w:r w:rsidRPr="000543FD">
        <w:rPr>
          <w:rFonts w:ascii="David" w:eastAsia="Times New Roman" w:hAnsi="David" w:cs="David"/>
          <w:sz w:val="24"/>
          <w:szCs w:val="24"/>
          <w:rtl/>
        </w:rPr>
        <w:tab/>
        <w:t>בהתייחס להליך של אקספלורציה שבוצע על ידו הסביר העד כי מדובר בהליך לבירור עומק החתך. מאחר שקיים קושי להתרשם מעומק הדקירה, "</w:t>
      </w:r>
      <w:r w:rsidRPr="000543FD">
        <w:rPr>
          <w:rFonts w:ascii="David" w:eastAsia="Times New Roman" w:hAnsi="David" w:cs="David"/>
          <w:b/>
          <w:bCs/>
          <w:sz w:val="24"/>
          <w:szCs w:val="24"/>
          <w:rtl/>
        </w:rPr>
        <w:t>... אנחנו משלימים צילומים, לא מקובל היום לפתוח חתך עם סכין, או להרחיב חתך, או להתעסק עם הבפנוכו של החתך באמצעים כירורגים על מנת לעשות את ה... היא נעשית עם מטוש, אתה לוקח מטוש, רואה את עומק החדירה, משתדל להעריך אותה וזהו, אנחנו לא משחקים עם הפצע, או מנסים להגדיל אותו</w:t>
      </w:r>
      <w:r w:rsidRPr="000543FD">
        <w:rPr>
          <w:rFonts w:ascii="David" w:eastAsia="Times New Roman" w:hAnsi="David" w:cs="David"/>
          <w:sz w:val="24"/>
          <w:szCs w:val="24"/>
          <w:rtl/>
        </w:rPr>
        <w:t xml:space="preserve">" (עמ' 28, ש' 3-4,7-10). ד"ר קופיאצקי הבהיר כי הבדיקה נעשית באמצעות מטוש, ובכך שלל את האפשרות שהוצגה בחקירתו הנגדית, לפיה עצם הבדיקה, בעזרת סכין, היא שגרמה להגדלת ממדיו של פצע הדקירה (עמ' 30). </w:t>
      </w:r>
    </w:p>
    <w:p w:rsidR="000543FD" w:rsidRPr="000543FD" w:rsidRDefault="000543FD" w:rsidP="000543FD">
      <w:pPr>
        <w:spacing w:before="80" w:after="80" w:line="360" w:lineRule="auto"/>
        <w:jc w:val="both"/>
        <w:rPr>
          <w:rFonts w:ascii="David" w:eastAsia="Times New Roman" w:hAnsi="David" w:cs="David"/>
          <w:b/>
          <w:bCs/>
          <w:sz w:val="24"/>
          <w:szCs w:val="24"/>
          <w:rtl/>
        </w:rPr>
      </w:pPr>
      <w:r w:rsidRPr="000543FD">
        <w:rPr>
          <w:rFonts w:ascii="David" w:eastAsia="Times New Roman" w:hAnsi="David" w:cs="David"/>
          <w:sz w:val="24"/>
          <w:szCs w:val="24"/>
          <w:rtl/>
        </w:rPr>
        <w:t>28.</w:t>
      </w:r>
      <w:r w:rsidRPr="000543FD">
        <w:rPr>
          <w:rFonts w:ascii="David" w:eastAsia="Times New Roman" w:hAnsi="David" w:cs="David"/>
          <w:sz w:val="24"/>
          <w:szCs w:val="24"/>
          <w:rtl/>
        </w:rPr>
        <w:tab/>
        <w:t>ד"ר קופיאצקי נשאל על הפער בתיאור עומק הפציעה, כאשר בעדותו תיאר חתך בעומק 1.5 ס"מ ובמכתב השחרור נכתב 0.5 ס"מ. על כך השיב: "</w:t>
      </w:r>
      <w:r w:rsidRPr="000543FD">
        <w:rPr>
          <w:rFonts w:ascii="David" w:eastAsia="Times New Roman" w:hAnsi="David" w:cs="David"/>
          <w:b/>
          <w:bCs/>
          <w:sz w:val="24"/>
          <w:szCs w:val="24"/>
          <w:rtl/>
        </w:rPr>
        <w:t>כמו שאמרתי אנחנו נעזרים במטוש על מנת להעריך עומק חדירה, קשה מאוד להעריך את האורך, אני לא יודע אם זה היה חצי ס"מ, או ס"מ וחצי... מבחינתי זה היה שטחי</w:t>
      </w:r>
      <w:r w:rsidRPr="000543FD">
        <w:rPr>
          <w:rFonts w:ascii="David" w:eastAsia="Times New Roman" w:hAnsi="David" w:cs="David"/>
          <w:sz w:val="24"/>
          <w:szCs w:val="24"/>
          <w:rtl/>
        </w:rPr>
        <w:t>" (עמ' 40, ש' 6-7,9). "</w:t>
      </w:r>
      <w:r w:rsidRPr="000543FD">
        <w:rPr>
          <w:rFonts w:ascii="David" w:eastAsia="Times New Roman" w:hAnsi="David" w:cs="David"/>
          <w:b/>
          <w:bCs/>
          <w:sz w:val="24"/>
          <w:szCs w:val="24"/>
          <w:rtl/>
        </w:rPr>
        <w:t>כמו שאני הסברתי מקודם, אם יש חשש לפגיעה באיבר עמוק, איבר בבית החזה, יכול להיות פגיעה מסכנת חיים, מבחינתי במקרה הנוכחי, ס"מ, 1.5 ס"מ, חצי ס"מ, הכול מגדיר לי תת עור, שבצילומים ובסיטי לא ראינו פגיעה באיברים עמוקים</w:t>
      </w:r>
      <w:r w:rsidRPr="000543FD">
        <w:rPr>
          <w:rFonts w:ascii="David" w:eastAsia="Times New Roman" w:hAnsi="David" w:cs="David"/>
          <w:sz w:val="24"/>
          <w:szCs w:val="24"/>
          <w:rtl/>
        </w:rPr>
        <w:t>". "</w:t>
      </w:r>
      <w:r w:rsidRPr="000543FD">
        <w:rPr>
          <w:rFonts w:ascii="David" w:eastAsia="Times New Roman" w:hAnsi="David" w:cs="David"/>
          <w:b/>
          <w:bCs/>
          <w:sz w:val="24"/>
          <w:szCs w:val="24"/>
          <w:rtl/>
        </w:rPr>
        <w:t>זה הערכה, גם החצי ס"מ, גם ה-1.5 ס"מ זה הערכה</w:t>
      </w:r>
      <w:r w:rsidRPr="000543FD">
        <w:rPr>
          <w:rFonts w:ascii="David" w:eastAsia="Times New Roman" w:hAnsi="David" w:cs="David"/>
          <w:sz w:val="24"/>
          <w:szCs w:val="24"/>
          <w:rtl/>
        </w:rPr>
        <w:t>" (עמ' 44, ש' 18).</w:t>
      </w:r>
    </w:p>
    <w:p w:rsid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29.</w:t>
      </w:r>
      <w:r w:rsidRPr="000543FD">
        <w:rPr>
          <w:rFonts w:ascii="David" w:eastAsia="Times New Roman" w:hAnsi="David" w:cs="David"/>
          <w:sz w:val="24"/>
          <w:szCs w:val="24"/>
          <w:rtl/>
        </w:rPr>
        <w:tab/>
        <w:t xml:space="preserve">מעדותו של ד"ר קופיאצקי עולה, איפוא, כי חבלה חודרת לבית החזה נחשבת תמיד כפגיעה מסכנת חיים, שכן היא עלולה לגרום לפגיעה באיברים חיוניים. במקרה זה, במהלך הטיפול במתלוננת התברר כי הפגיעה שטחית ואינה מסכנת חיים. </w:t>
      </w: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גירסת המתלוננת</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30.</w:t>
      </w:r>
      <w:r w:rsidRPr="000543FD">
        <w:rPr>
          <w:rFonts w:ascii="David" w:eastAsia="Times New Roman" w:hAnsi="David" w:cs="David"/>
          <w:sz w:val="24"/>
          <w:szCs w:val="24"/>
          <w:rtl/>
        </w:rPr>
        <w:tab/>
        <w:t xml:space="preserve">המתלוננת מסרה ארבע הודעות במהלך חקירתה במשטרה. בכל ההודעות הכחישה את המיוחס לה או נמנעה מלהשיב ושמרה על "זכות השתיקה". ההודאה בכך שדקרה את המתלוננת נמסרה לראשונה בעדותה בבית המשפט.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נעבור לסקור את גרסאותיה השונות של הנאשמת. מאחר שלא הועלו טענות כלשהן בנושא זה, ההתייחסות היא להודעות המקוצרות שנרשמו על ידי החוקרים, ולא לתמלילים.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b/>
          <w:bCs/>
          <w:sz w:val="24"/>
          <w:szCs w:val="24"/>
          <w:rtl/>
        </w:rPr>
        <w:t>31.</w:t>
      </w:r>
      <w:r w:rsidRPr="000543FD">
        <w:rPr>
          <w:rFonts w:ascii="David" w:eastAsia="Times New Roman" w:hAnsi="David" w:cs="David"/>
          <w:b/>
          <w:bCs/>
          <w:sz w:val="24"/>
          <w:szCs w:val="24"/>
          <w:rtl/>
        </w:rPr>
        <w:tab/>
        <w:t>בהודעתה הראשונה מיום 8.12.21 שעה 11:09 (ת/1,ת/1א, ת/1ב)</w:t>
      </w:r>
      <w:r w:rsidRPr="000543FD">
        <w:rPr>
          <w:rFonts w:ascii="David" w:eastAsia="Times New Roman" w:hAnsi="David" w:cs="David"/>
          <w:sz w:val="24"/>
          <w:szCs w:val="24"/>
          <w:rtl/>
        </w:rPr>
        <w:t xml:space="preserve"> הכחישה הנאשמת מכל וכל כל מעורבות שלה באירוע הדקירה והרחיקה עצמה מהאירוע בכל דרך: "</w:t>
      </w:r>
      <w:r w:rsidRPr="000543FD">
        <w:rPr>
          <w:rFonts w:ascii="David" w:eastAsia="Times New Roman" w:hAnsi="David" w:cs="David"/>
          <w:b/>
          <w:bCs/>
          <w:sz w:val="24"/>
          <w:szCs w:val="24"/>
          <w:rtl/>
        </w:rPr>
        <w:t xml:space="preserve">זה לא אני עשיתי את </w:t>
      </w:r>
      <w:r w:rsidRPr="000543FD">
        <w:rPr>
          <w:rFonts w:ascii="David" w:eastAsia="Times New Roman" w:hAnsi="David" w:cs="David"/>
          <w:b/>
          <w:bCs/>
          <w:sz w:val="24"/>
          <w:szCs w:val="24"/>
          <w:rtl/>
        </w:rPr>
        <w:lastRenderedPageBreak/>
        <w:t>זה, זה לא אני הרגתי או פצעתי אותה</w:t>
      </w:r>
      <w:r w:rsidRPr="000543FD">
        <w:rPr>
          <w:rFonts w:ascii="David" w:eastAsia="Times New Roman" w:hAnsi="David" w:cs="David"/>
          <w:sz w:val="24"/>
          <w:szCs w:val="24"/>
          <w:rtl/>
        </w:rPr>
        <w:t>" (ת/1,ש' 8). הנאשמת אישרה כי היא מבינה מדוע היא במשטרה ושבה וטענה "</w:t>
      </w:r>
      <w:r w:rsidRPr="000543FD">
        <w:rPr>
          <w:rFonts w:ascii="David" w:eastAsia="Times New Roman" w:hAnsi="David" w:cs="David"/>
          <w:b/>
          <w:bCs/>
          <w:sz w:val="24"/>
          <w:szCs w:val="24"/>
          <w:rtl/>
        </w:rPr>
        <w:t>זו לא אני</w:t>
      </w:r>
      <w:r w:rsidRPr="000543FD">
        <w:rPr>
          <w:rFonts w:ascii="David" w:eastAsia="Times New Roman" w:hAnsi="David" w:cs="David"/>
          <w:sz w:val="24"/>
          <w:szCs w:val="24"/>
          <w:rtl/>
        </w:rPr>
        <w:t>", "</w:t>
      </w:r>
      <w:r w:rsidRPr="000543FD">
        <w:rPr>
          <w:rFonts w:ascii="David" w:eastAsia="Times New Roman" w:hAnsi="David" w:cs="David"/>
          <w:b/>
          <w:bCs/>
          <w:sz w:val="24"/>
          <w:szCs w:val="24"/>
          <w:rtl/>
        </w:rPr>
        <w:t>כי זו לא אני</w:t>
      </w:r>
      <w:r w:rsidRPr="000543FD">
        <w:rPr>
          <w:rFonts w:ascii="David" w:eastAsia="Times New Roman" w:hAnsi="David" w:cs="David"/>
          <w:sz w:val="24"/>
          <w:szCs w:val="24"/>
          <w:rtl/>
        </w:rPr>
        <w:t>" (ת/1, ש' 206-211). היא נשאלה אם היה לה ריב או סכסוך בבית הספר והשיבה: "</w:t>
      </w:r>
      <w:r w:rsidRPr="000543FD">
        <w:rPr>
          <w:rFonts w:ascii="David" w:eastAsia="Times New Roman" w:hAnsi="David" w:cs="David"/>
          <w:b/>
          <w:bCs/>
          <w:sz w:val="24"/>
          <w:szCs w:val="24"/>
          <w:rtl/>
        </w:rPr>
        <w:t xml:space="preserve">לא. אמרתי לכם שאין לי בעיה עם אף אחד" </w:t>
      </w:r>
      <w:r w:rsidRPr="000543FD">
        <w:rPr>
          <w:rFonts w:ascii="David" w:eastAsia="Times New Roman" w:hAnsi="David" w:cs="David"/>
          <w:sz w:val="24"/>
          <w:szCs w:val="24"/>
          <w:rtl/>
        </w:rPr>
        <w:t>ובהמשך ציינה</w:t>
      </w:r>
      <w:r w:rsidRPr="000543FD">
        <w:rPr>
          <w:rFonts w:ascii="David" w:eastAsia="Times New Roman" w:hAnsi="David" w:cs="David"/>
          <w:b/>
          <w:bCs/>
          <w:sz w:val="24"/>
          <w:szCs w:val="24"/>
          <w:rtl/>
        </w:rPr>
        <w:t xml:space="preserve"> "הקשר טוב עם המנהלת והמורה</w:t>
      </w:r>
      <w:r w:rsidRPr="000543FD">
        <w:rPr>
          <w:rFonts w:ascii="David" w:eastAsia="Times New Roman" w:hAnsi="David" w:cs="David"/>
          <w:sz w:val="24"/>
          <w:szCs w:val="24"/>
          <w:rtl/>
        </w:rPr>
        <w:t>" (ת/1, ש' 174,184). הנאשמת נשאלה על בעיות בחייה ועל מצב רוחה בבוקר האירוע, והשיבה "</w:t>
      </w:r>
      <w:r w:rsidRPr="000543FD">
        <w:rPr>
          <w:rFonts w:ascii="David" w:eastAsia="Times New Roman" w:hAnsi="David" w:cs="David"/>
          <w:b/>
          <w:bCs/>
          <w:sz w:val="24"/>
          <w:szCs w:val="24"/>
          <w:rtl/>
        </w:rPr>
        <w:t>רגיל טוב</w:t>
      </w:r>
      <w:r w:rsidRPr="000543FD">
        <w:rPr>
          <w:rFonts w:ascii="David" w:eastAsia="Times New Roman" w:hAnsi="David" w:cs="David"/>
          <w:sz w:val="24"/>
          <w:szCs w:val="24"/>
          <w:rtl/>
        </w:rPr>
        <w:t xml:space="preserve">" (ת/1, ש' 212-215). היא הכחישה שהוריה מחייבים אותה לעטות חיג'אב כבר עתה (ש' 266). כמו כן הכחישה שהחליפה בגדים באותו בוקר ועמדה על כך באופן נחרץ (ש' 269-274). בהמשך סירבה הנאשמת לאפשר מסירת הקוד ופתיחת הטלפון שלה (ש' 280-285), והכחישה שלקחה סכין מביתה והחזיקה בסכין (ש' 290 – 293).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בהמשך ההודעה כשהוצגו לה סרטונים, הנאשמת הכחישה כי היא הנראית בהם, למרות שזיהתה את סביבת ביתה (ש' 342 ואילך).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b/>
          <w:bCs/>
          <w:sz w:val="24"/>
          <w:szCs w:val="24"/>
          <w:rtl/>
        </w:rPr>
        <w:t>32.</w:t>
      </w:r>
      <w:r w:rsidRPr="000543FD">
        <w:rPr>
          <w:rFonts w:ascii="David" w:eastAsia="Times New Roman" w:hAnsi="David" w:cs="David"/>
          <w:b/>
          <w:bCs/>
          <w:sz w:val="24"/>
          <w:szCs w:val="24"/>
          <w:rtl/>
        </w:rPr>
        <w:tab/>
        <w:t>בהודעתה השנייה מיום 8.12.21 שעה 17:32 (ת/2, ת/2א, ת/2ב</w:t>
      </w:r>
      <w:r w:rsidRPr="000543FD">
        <w:rPr>
          <w:rFonts w:ascii="David" w:eastAsia="Times New Roman" w:hAnsi="David" w:cs="David"/>
          <w:sz w:val="24"/>
          <w:szCs w:val="24"/>
          <w:rtl/>
        </w:rPr>
        <w:t>), הנאשמת בחרה שלא להשיב לשאלות, ציינה "</w:t>
      </w:r>
      <w:r w:rsidRPr="000543FD">
        <w:rPr>
          <w:rFonts w:ascii="David" w:eastAsia="Times New Roman" w:hAnsi="David" w:cs="David"/>
          <w:b/>
          <w:bCs/>
          <w:sz w:val="24"/>
          <w:szCs w:val="24"/>
          <w:rtl/>
        </w:rPr>
        <w:t>אני שומרת על זכות השתיקה</w:t>
      </w:r>
      <w:r w:rsidRPr="000543FD">
        <w:rPr>
          <w:rFonts w:ascii="David" w:eastAsia="Times New Roman" w:hAnsi="David" w:cs="David"/>
          <w:sz w:val="24"/>
          <w:szCs w:val="24"/>
          <w:rtl/>
        </w:rPr>
        <w:t>" (ת/2, ש' 3), בהתה בקיר, שתקה ולא השיבה לשאלות, גם לאחר שראתה את הוריה מחוץ לחדר החקירות והדבר גרם לה לבכות.</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b/>
          <w:bCs/>
          <w:sz w:val="24"/>
          <w:szCs w:val="24"/>
          <w:rtl/>
        </w:rPr>
        <w:t>33.</w:t>
      </w:r>
      <w:r w:rsidRPr="000543FD">
        <w:rPr>
          <w:rFonts w:ascii="David" w:eastAsia="Times New Roman" w:hAnsi="David" w:cs="David"/>
          <w:b/>
          <w:bCs/>
          <w:sz w:val="24"/>
          <w:szCs w:val="24"/>
          <w:rtl/>
        </w:rPr>
        <w:tab/>
        <w:t>בהודעה השלישית מיום 12.12.21 (ת/3,ת/3א,ת/3ב),</w:t>
      </w:r>
      <w:r w:rsidRPr="000543FD">
        <w:rPr>
          <w:rFonts w:ascii="David" w:eastAsia="Times New Roman" w:hAnsi="David" w:cs="David"/>
          <w:sz w:val="24"/>
          <w:szCs w:val="24"/>
          <w:rtl/>
        </w:rPr>
        <w:t xml:space="preserve"> הנאשמת הכחישה שו</w:t>
      </w:r>
      <w:r w:rsidR="00D3503D">
        <w:rPr>
          <w:rFonts w:ascii="David" w:eastAsia="Times New Roman" w:hAnsi="David" w:cs="David"/>
          <w:sz w:val="24"/>
          <w:szCs w:val="24"/>
          <w:rtl/>
        </w:rPr>
        <w:t xml:space="preserve">ב ושוב כי החליפה בגדים או לקחה </w:t>
      </w:r>
      <w:r w:rsidRPr="000543FD">
        <w:rPr>
          <w:rFonts w:ascii="David" w:eastAsia="Times New Roman" w:hAnsi="David" w:cs="David"/>
          <w:sz w:val="24"/>
          <w:szCs w:val="24"/>
          <w:rtl/>
        </w:rPr>
        <w:t>תיק שאינם שלה, וטענה כי אינה מזהה את בגדיה בסרטונים (ת/3, ש' 30-38, ש' 39-44, ש' 165-170 ש' 94-99). היא שבה והכחישה כי היא הנראית בסרטונים שהוצגו לה וטענה - זו "</w:t>
      </w:r>
      <w:r w:rsidRPr="000543FD">
        <w:rPr>
          <w:rFonts w:ascii="David" w:eastAsia="Times New Roman" w:hAnsi="David" w:cs="David"/>
          <w:b/>
          <w:bCs/>
          <w:sz w:val="24"/>
          <w:szCs w:val="24"/>
          <w:rtl/>
        </w:rPr>
        <w:t>לא אני</w:t>
      </w:r>
      <w:r w:rsidRPr="000543FD">
        <w:rPr>
          <w:rFonts w:ascii="David" w:eastAsia="Times New Roman" w:hAnsi="David" w:cs="David"/>
          <w:sz w:val="24"/>
          <w:szCs w:val="24"/>
          <w:rtl/>
        </w:rPr>
        <w:t xml:space="preserve">" (ת/3, ש' 48-91,99). הנאשמת הכחישה כי בביתה סכין דומה לזה שהוצג לה (ת/3, ש' 104-107). בהמשך שבה וטענה כי לא היא שדקרה, והכחישה את זהותה בסרטונים גם לאחר שנאמר לה כי זוהתה על ידי אחותה ואמה (ת/3, ש' 124-126).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b/>
          <w:bCs/>
          <w:sz w:val="24"/>
          <w:szCs w:val="24"/>
          <w:rtl/>
        </w:rPr>
        <w:t>34.</w:t>
      </w:r>
      <w:r w:rsidRPr="000543FD">
        <w:rPr>
          <w:rFonts w:ascii="David" w:eastAsia="Times New Roman" w:hAnsi="David" w:cs="David"/>
          <w:b/>
          <w:bCs/>
          <w:sz w:val="24"/>
          <w:szCs w:val="24"/>
          <w:rtl/>
        </w:rPr>
        <w:tab/>
        <w:t xml:space="preserve">בהודעה הרביעית מיום 15.12.21 (ת/4, ת/4א, ת/4ב), </w:t>
      </w:r>
      <w:r w:rsidRPr="000543FD">
        <w:rPr>
          <w:rFonts w:ascii="David" w:eastAsia="Times New Roman" w:hAnsi="David" w:cs="David"/>
          <w:sz w:val="24"/>
          <w:szCs w:val="24"/>
          <w:rtl/>
        </w:rPr>
        <w:t xml:space="preserve">אישרה הנאשמת כי היא מבינה את החשדות נגדה. לטענה כי מחומר החקירה עולה שעל החולצה הלבנה שנתפסה בשטח בית הספר נמצא </w:t>
      </w:r>
      <w:r w:rsidRPr="000543FD">
        <w:rPr>
          <w:rFonts w:ascii="David" w:eastAsia="Times New Roman" w:hAnsi="David" w:cs="David"/>
          <w:sz w:val="24"/>
          <w:szCs w:val="24"/>
        </w:rPr>
        <w:t>DNA</w:t>
      </w:r>
      <w:r w:rsidRPr="000543FD">
        <w:rPr>
          <w:rFonts w:ascii="David" w:eastAsia="Times New Roman" w:hAnsi="David" w:cs="David"/>
          <w:sz w:val="24"/>
          <w:szCs w:val="24"/>
          <w:rtl/>
        </w:rPr>
        <w:t xml:space="preserve"> שלה, השיבה כי החולצה אינה שלה וכי היא אינה מאמינה ב-</w:t>
      </w:r>
      <w:r w:rsidRPr="000543FD">
        <w:rPr>
          <w:rFonts w:ascii="David" w:eastAsia="Times New Roman" w:hAnsi="David" w:cs="David"/>
          <w:sz w:val="24"/>
          <w:szCs w:val="24"/>
        </w:rPr>
        <w:t>DMA</w:t>
      </w:r>
      <w:r w:rsidRPr="000543FD">
        <w:rPr>
          <w:rFonts w:ascii="David" w:eastAsia="Times New Roman" w:hAnsi="David" w:cs="David"/>
          <w:sz w:val="24"/>
          <w:szCs w:val="24"/>
          <w:rtl/>
        </w:rPr>
        <w:t xml:space="preserve"> (ת/4, ש' 2-9). לטענה שזו החולצה הלבנה שלבשה כשדקרה את המתלוננת השיבה הנאשמת בשמירה על </w:t>
      </w:r>
      <w:r w:rsidRPr="000543FD">
        <w:rPr>
          <w:rFonts w:ascii="David" w:eastAsia="Times New Roman" w:hAnsi="David" w:cs="David"/>
          <w:b/>
          <w:bCs/>
          <w:sz w:val="24"/>
          <w:szCs w:val="24"/>
          <w:rtl/>
        </w:rPr>
        <w:t>"זכות השתיקה</w:t>
      </w:r>
      <w:r w:rsidRPr="000543FD">
        <w:rPr>
          <w:rFonts w:ascii="David" w:eastAsia="Times New Roman" w:hAnsi="David" w:cs="David"/>
          <w:sz w:val="24"/>
          <w:szCs w:val="24"/>
          <w:rtl/>
        </w:rPr>
        <w:t xml:space="preserve">", וכך גם לגבי הטענות שקיים </w:t>
      </w:r>
      <w:r w:rsidRPr="000543FD">
        <w:rPr>
          <w:rFonts w:ascii="David" w:eastAsia="Times New Roman" w:hAnsi="David" w:cs="David"/>
          <w:sz w:val="24"/>
          <w:szCs w:val="24"/>
        </w:rPr>
        <w:t>DNA</w:t>
      </w:r>
      <w:r w:rsidRPr="000543FD">
        <w:rPr>
          <w:rFonts w:ascii="David" w:eastAsia="Times New Roman" w:hAnsi="David" w:cs="David"/>
          <w:sz w:val="24"/>
          <w:szCs w:val="24"/>
          <w:rtl/>
        </w:rPr>
        <w:t xml:space="preserve"> שלה על המעיל שנמצא בשטח בית הספר ולבשה הדוקרת. גם להאשמות שביקשה לבצע פיגוע, שניסתה לרצוח יהודיה בשל היותה יהודיה ושתכננה מראש את הפיגוע ושיבוש הראיות, הגיבה הנאשמת ב"</w:t>
      </w:r>
      <w:r w:rsidRPr="000543FD">
        <w:rPr>
          <w:rFonts w:ascii="David" w:eastAsia="Times New Roman" w:hAnsi="David" w:cs="David"/>
          <w:b/>
          <w:bCs/>
          <w:sz w:val="24"/>
          <w:szCs w:val="24"/>
          <w:rtl/>
        </w:rPr>
        <w:t>אין תגובה</w:t>
      </w:r>
      <w:r w:rsidRPr="000543FD">
        <w:rPr>
          <w:rFonts w:ascii="David" w:eastAsia="Times New Roman" w:hAnsi="David" w:cs="David"/>
          <w:sz w:val="24"/>
          <w:szCs w:val="24"/>
          <w:rtl/>
        </w:rPr>
        <w:t>" (ת/4, ש' 15-24)</w:t>
      </w:r>
      <w:r w:rsidRPr="000543FD">
        <w:rPr>
          <w:rFonts w:ascii="David" w:eastAsia="Times New Roman" w:hAnsi="David" w:cs="David"/>
          <w:b/>
          <w:bCs/>
          <w:sz w:val="24"/>
          <w:szCs w:val="24"/>
          <w:rtl/>
        </w:rPr>
        <w:t>.</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b/>
          <w:bCs/>
          <w:sz w:val="24"/>
          <w:szCs w:val="24"/>
          <w:rtl/>
        </w:rPr>
        <w:t>35.</w:t>
      </w:r>
      <w:r w:rsidRPr="000543FD">
        <w:rPr>
          <w:rFonts w:ascii="David" w:eastAsia="Times New Roman" w:hAnsi="David" w:cs="David"/>
          <w:b/>
          <w:bCs/>
          <w:sz w:val="24"/>
          <w:szCs w:val="24"/>
          <w:rtl/>
        </w:rPr>
        <w:tab/>
        <w:t xml:space="preserve">בעדותה בבית המשפט </w:t>
      </w:r>
      <w:r w:rsidRPr="000543FD">
        <w:rPr>
          <w:rFonts w:ascii="David" w:eastAsia="Times New Roman" w:hAnsi="David" w:cs="David"/>
          <w:sz w:val="24"/>
          <w:szCs w:val="24"/>
          <w:rtl/>
        </w:rPr>
        <w:t xml:space="preserve">שינתה הנאשמת את טעמה מקצה לקצה. בפתח עדותה הודיעה הנאשמת: </w:t>
      </w:r>
      <w:r w:rsidRPr="000543FD">
        <w:rPr>
          <w:rFonts w:ascii="David" w:eastAsia="Times New Roman" w:hAnsi="David" w:cs="David"/>
          <w:b/>
          <w:bCs/>
          <w:sz w:val="24"/>
          <w:szCs w:val="24"/>
          <w:rtl/>
        </w:rPr>
        <w:t>"אני החלטתי שאני מודה. אומרת את האמת"</w:t>
      </w:r>
      <w:r w:rsidRPr="000543FD">
        <w:rPr>
          <w:rFonts w:ascii="David" w:eastAsia="Times New Roman" w:hAnsi="David" w:cs="David"/>
          <w:sz w:val="24"/>
          <w:szCs w:val="24"/>
          <w:rtl/>
        </w:rPr>
        <w:t xml:space="preserve"> (פרוטוקול עמ' 17 ש' 13). מיד לאחר מכן, כשנשאלה מה קרה בבוקר האירוע, השיבה הנאשמת </w:t>
      </w:r>
      <w:r w:rsidRPr="000543FD">
        <w:rPr>
          <w:rFonts w:ascii="David" w:eastAsia="Times New Roman" w:hAnsi="David" w:cs="David"/>
          <w:b/>
          <w:bCs/>
          <w:sz w:val="24"/>
          <w:szCs w:val="24"/>
          <w:rtl/>
        </w:rPr>
        <w:t>"קודם כל זו לא היתה אמורה להיות דקירה, זו היתה מכה קלה... הייתי קצת מטושטשת מבולבלת, לא ידעתי מה בדיוק מתרחש, ובגלל זה המקרה הזה קרה"</w:t>
      </w:r>
      <w:r w:rsidRPr="000543FD">
        <w:rPr>
          <w:rFonts w:ascii="David" w:eastAsia="Times New Roman" w:hAnsi="David" w:cs="David"/>
          <w:sz w:val="24"/>
          <w:szCs w:val="24"/>
          <w:rtl/>
        </w:rPr>
        <w:t xml:space="preserve"> (עמ' 17 ש' 15, 17).</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lastRenderedPageBreak/>
        <w:t xml:space="preserve">הנאשמת הוסיפה והעידה כי סולקה מבית הספר למשך 3 ימים בגלל סיגריה, ולאחר מכן התעוררו התנגשויות בינה לבין משפחתה, כאשר דרשו ממנה בבית לשים כיסוי ראש והיא סירבה לכך (עמ' 18, 19).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36.</w:t>
      </w:r>
      <w:r w:rsidRPr="000543FD">
        <w:rPr>
          <w:rFonts w:ascii="David" w:eastAsia="Times New Roman" w:hAnsi="David" w:cs="David"/>
          <w:sz w:val="24"/>
          <w:szCs w:val="24"/>
          <w:rtl/>
        </w:rPr>
        <w:tab/>
        <w:t>בחזרה לתיאור האירוע טענה הנאשמת כי אינה מכירה את האישה אותה דקרה, אך יודעת כי היא גרה במקביל לבית שלהם, מול הבית שלהם (עמ' 18 ש' 16, 18). לשאלה מה חשבה שיקרה למתלוננת השיבה הנאשמת: "</w:t>
      </w:r>
      <w:r w:rsidRPr="000543FD">
        <w:rPr>
          <w:rFonts w:ascii="David" w:eastAsia="Times New Roman" w:hAnsi="David" w:cs="David"/>
          <w:b/>
          <w:bCs/>
          <w:sz w:val="24"/>
          <w:szCs w:val="24"/>
          <w:rtl/>
        </w:rPr>
        <w:t>קודם כל, כשנתתי לה מכה אני לא ידעתי שזאת דקירה. אחר כך שהייתי בתוך החקירות ואחרי כל הביקורים של העורכי דין, אז אני ידעתי שאני כן דקרתי אותה</w:t>
      </w:r>
      <w:r w:rsidRPr="000543FD">
        <w:rPr>
          <w:rFonts w:ascii="David" w:eastAsia="Times New Roman" w:hAnsi="David" w:cs="David"/>
          <w:sz w:val="24"/>
          <w:szCs w:val="24"/>
          <w:rtl/>
        </w:rPr>
        <w:t xml:space="preserve">.... </w:t>
      </w:r>
      <w:r w:rsidRPr="000543FD">
        <w:rPr>
          <w:rFonts w:ascii="David" w:eastAsia="Times New Roman" w:hAnsi="David" w:cs="David"/>
          <w:b/>
          <w:bCs/>
          <w:sz w:val="24"/>
          <w:szCs w:val="24"/>
          <w:rtl/>
        </w:rPr>
        <w:t>כאילו שאני רק נתתי לה מכה, ולא ידעתי אם הסכין פגעה בה או לא ... אבל זאת הייתה מכה של חצי סנטי כשאני ראיתי</w:t>
      </w:r>
      <w:r w:rsidRPr="000543FD">
        <w:rPr>
          <w:rFonts w:ascii="David" w:eastAsia="Times New Roman" w:hAnsi="David" w:cs="David"/>
          <w:sz w:val="24"/>
          <w:szCs w:val="24"/>
          <w:rtl/>
        </w:rPr>
        <w:t>" (עמ' 18 ש' 20-25).</w:t>
      </w:r>
    </w:p>
    <w:p w:rsidR="000543FD" w:rsidRPr="000543FD" w:rsidRDefault="000543FD" w:rsidP="000543FD">
      <w:pPr>
        <w:spacing w:before="80" w:after="80" w:line="360" w:lineRule="auto"/>
        <w:ind w:firstLine="708"/>
        <w:jc w:val="both"/>
        <w:rPr>
          <w:rFonts w:ascii="David" w:eastAsia="Times New Roman" w:hAnsi="David" w:cs="David"/>
          <w:sz w:val="24"/>
          <w:szCs w:val="24"/>
          <w:rtl/>
        </w:rPr>
      </w:pPr>
      <w:r w:rsidRPr="000543FD">
        <w:rPr>
          <w:rFonts w:ascii="David" w:eastAsia="Times New Roman" w:hAnsi="David" w:cs="David"/>
          <w:sz w:val="24"/>
          <w:szCs w:val="24"/>
          <w:rtl/>
        </w:rPr>
        <w:t>הנאשמת נשאלה על ידי בית המשפט, "</w:t>
      </w:r>
      <w:r w:rsidRPr="000543FD">
        <w:rPr>
          <w:rFonts w:ascii="David" w:eastAsia="Times New Roman" w:hAnsi="David" w:cs="David"/>
          <w:b/>
          <w:bCs/>
          <w:sz w:val="24"/>
          <w:szCs w:val="24"/>
          <w:rtl/>
        </w:rPr>
        <w:t>כשנתת לה מכה עם הסכין ניסית לוודא מראש שזה לא יכנס יותר מחצי סנטימטר?</w:t>
      </w:r>
      <w:r w:rsidRPr="000543FD">
        <w:rPr>
          <w:rFonts w:ascii="David" w:eastAsia="Times New Roman" w:hAnsi="David" w:cs="David"/>
          <w:sz w:val="24"/>
          <w:szCs w:val="24"/>
          <w:rtl/>
        </w:rPr>
        <w:t>", והשיבה: "</w:t>
      </w:r>
      <w:r w:rsidRPr="000543FD">
        <w:rPr>
          <w:rFonts w:ascii="David" w:eastAsia="Times New Roman" w:hAnsi="David" w:cs="David"/>
          <w:b/>
          <w:bCs/>
          <w:sz w:val="24"/>
          <w:szCs w:val="24"/>
          <w:rtl/>
        </w:rPr>
        <w:t>לא</w:t>
      </w:r>
      <w:r w:rsidRPr="000543FD">
        <w:rPr>
          <w:rFonts w:ascii="David" w:eastAsia="Times New Roman" w:hAnsi="David" w:cs="David"/>
          <w:sz w:val="24"/>
          <w:szCs w:val="24"/>
          <w:rtl/>
        </w:rPr>
        <w:t>" (עמ' 18, ש' 30-31). לשאלה על כך שהיא מואשמת בנסיון רצח, בכך שרצתה להרוג את המתלוננת, השיבה הנאשמת: "</w:t>
      </w:r>
      <w:r w:rsidRPr="000543FD">
        <w:rPr>
          <w:rFonts w:ascii="David" w:eastAsia="Times New Roman" w:hAnsi="David" w:cs="David"/>
          <w:b/>
          <w:bCs/>
          <w:sz w:val="24"/>
          <w:szCs w:val="24"/>
          <w:rtl/>
        </w:rPr>
        <w:t>לא בכלל לא ניסיתי לרצוח אותה, לא ניסיתי לדקור אותה. אבל אני הייתי קצת מבולבלת מטושטשת, בגלל זה עשיתי את הדבר הזה</w:t>
      </w:r>
      <w:r w:rsidRPr="000543FD">
        <w:rPr>
          <w:rFonts w:ascii="David" w:eastAsia="Times New Roman" w:hAnsi="David" w:cs="David"/>
          <w:sz w:val="24"/>
          <w:szCs w:val="24"/>
          <w:rtl/>
        </w:rPr>
        <w:t>" (עמ' 19, ש' 2-4).</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37.</w:t>
      </w:r>
      <w:r w:rsidRPr="000543FD">
        <w:rPr>
          <w:rFonts w:ascii="David" w:eastAsia="Times New Roman" w:hAnsi="David" w:cs="David"/>
          <w:sz w:val="24"/>
          <w:szCs w:val="24"/>
          <w:rtl/>
        </w:rPr>
        <w:tab/>
        <w:t>הנאשמת נשאלה מהיכן הסכין, והשיבה "</w:t>
      </w:r>
      <w:r w:rsidRPr="000543FD">
        <w:rPr>
          <w:rFonts w:ascii="David" w:eastAsia="Times New Roman" w:hAnsi="David" w:cs="David"/>
          <w:b/>
          <w:bCs/>
          <w:sz w:val="24"/>
          <w:szCs w:val="24"/>
          <w:rtl/>
        </w:rPr>
        <w:t>מהבית</w:t>
      </w:r>
      <w:r w:rsidRPr="000543FD">
        <w:rPr>
          <w:rFonts w:ascii="David" w:eastAsia="Times New Roman" w:hAnsi="David" w:cs="David"/>
          <w:sz w:val="24"/>
          <w:szCs w:val="24"/>
          <w:rtl/>
        </w:rPr>
        <w:t>". היא תיארה כי "</w:t>
      </w:r>
      <w:r w:rsidRPr="000543FD">
        <w:rPr>
          <w:rFonts w:ascii="David" w:eastAsia="Times New Roman" w:hAnsi="David" w:cs="David"/>
          <w:b/>
          <w:bCs/>
          <w:sz w:val="24"/>
          <w:szCs w:val="24"/>
          <w:rtl/>
        </w:rPr>
        <w:t>הייתי מתכוונת לצאת לבית ספר, אחר כך ראיתי את המקום ששמים פה את כל הסכינים אצלנו בבית ולקחתי אותה ויצאתי מהבית</w:t>
      </w:r>
      <w:r w:rsidRPr="000543FD">
        <w:rPr>
          <w:rFonts w:ascii="David" w:eastAsia="Times New Roman" w:hAnsi="David" w:cs="David"/>
          <w:sz w:val="24"/>
          <w:szCs w:val="24"/>
          <w:rtl/>
        </w:rPr>
        <w:t>" (עמ' 19, ש' 8-9). לשאלה מה חשבה ומה עבר לה בראש כשלקחה את הסכין, השיבה: "</w:t>
      </w:r>
      <w:r w:rsidRPr="000543FD">
        <w:rPr>
          <w:rFonts w:ascii="David" w:eastAsia="Times New Roman" w:hAnsi="David" w:cs="David"/>
          <w:b/>
          <w:bCs/>
          <w:sz w:val="24"/>
          <w:szCs w:val="24"/>
          <w:rtl/>
        </w:rPr>
        <w:t>בהתחלה לא עלה לי שום דבר בראש, רק ככה לקחתי אותה ושמתי אותה בתוך התיק. אחר כך כשראיתי את האישה, קרה מה שקרה</w:t>
      </w:r>
      <w:r w:rsidRPr="000543FD">
        <w:rPr>
          <w:rFonts w:ascii="David" w:eastAsia="Times New Roman" w:hAnsi="David" w:cs="David"/>
          <w:sz w:val="24"/>
          <w:szCs w:val="24"/>
          <w:rtl/>
        </w:rPr>
        <w:t>" (עמ' 19, ש' 15-16). בהמשך השיבה לגבי הסיבה לנטילת הסכין: "</w:t>
      </w:r>
      <w:r w:rsidRPr="000543FD">
        <w:rPr>
          <w:rFonts w:ascii="David" w:eastAsia="Times New Roman" w:hAnsi="David" w:cs="David"/>
          <w:b/>
          <w:bCs/>
          <w:sz w:val="24"/>
          <w:szCs w:val="24"/>
          <w:rtl/>
        </w:rPr>
        <w:t>רק ככה סתם לקחתי אותה, לא ידעתי למה. לא יודעת למה</w:t>
      </w:r>
      <w:r w:rsidRPr="000543FD">
        <w:rPr>
          <w:rFonts w:ascii="David" w:eastAsia="Times New Roman" w:hAnsi="David" w:cs="David"/>
          <w:sz w:val="24"/>
          <w:szCs w:val="24"/>
          <w:rtl/>
        </w:rPr>
        <w:t xml:space="preserve">" (עמ' 20, ש' 11-12).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הנאשמת תיארה את יציאתה מהבית, כשהיא חובשת את כיסוי הראש כדי </w:t>
      </w:r>
      <w:r>
        <w:rPr>
          <w:rFonts w:ascii="David" w:eastAsia="Times New Roman" w:hAnsi="David" w:cs="David" w:hint="cs"/>
          <w:sz w:val="24"/>
          <w:szCs w:val="24"/>
          <w:rtl/>
        </w:rPr>
        <w:t xml:space="preserve">שהוריה יאפשרו </w:t>
      </w:r>
      <w:r w:rsidRPr="000543FD">
        <w:rPr>
          <w:rFonts w:ascii="David" w:eastAsia="Times New Roman" w:hAnsi="David" w:cs="David"/>
          <w:sz w:val="24"/>
          <w:szCs w:val="24"/>
          <w:rtl/>
        </w:rPr>
        <w:t xml:space="preserve"> לה לצאת מהבית, ולאחר מכן הסירה את כיסוי הראש, חבשה את הכובע של המעיל והמשיכה בדרכה (עמ' 10 ש' 24). הסיבה למעשה, לדבריה, "</w:t>
      </w:r>
      <w:r w:rsidRPr="000543FD">
        <w:rPr>
          <w:rFonts w:ascii="David" w:eastAsia="Times New Roman" w:hAnsi="David" w:cs="David"/>
          <w:b/>
          <w:bCs/>
          <w:sz w:val="24"/>
          <w:szCs w:val="24"/>
          <w:rtl/>
        </w:rPr>
        <w:t>כדי שהם לא יראו אותי בלי כיסוי על הראש</w:t>
      </w:r>
      <w:r w:rsidRPr="000543FD">
        <w:rPr>
          <w:rFonts w:ascii="David" w:eastAsia="Times New Roman" w:hAnsi="David" w:cs="David"/>
          <w:sz w:val="24"/>
          <w:szCs w:val="24"/>
          <w:rtl/>
        </w:rPr>
        <w:t xml:space="preserve">" (עמ' 19, ש' 27-29). מאוחר יותר, בבית הספר, הורידה את המעיל </w:t>
      </w:r>
      <w:r w:rsidRPr="000543FD">
        <w:rPr>
          <w:rFonts w:ascii="David" w:eastAsia="Times New Roman" w:hAnsi="David" w:cs="David"/>
          <w:b/>
          <w:bCs/>
          <w:sz w:val="24"/>
          <w:szCs w:val="24"/>
          <w:rtl/>
        </w:rPr>
        <w:t>"בגלל שאמרו לי שהמשטרה מחפשת את מי שעשה את המעשה"</w:t>
      </w:r>
      <w:r w:rsidRPr="000543FD">
        <w:rPr>
          <w:rFonts w:ascii="David" w:eastAsia="Times New Roman" w:hAnsi="David" w:cs="David"/>
          <w:sz w:val="24"/>
          <w:szCs w:val="24"/>
          <w:rtl/>
        </w:rPr>
        <w:t xml:space="preserve"> (עמ' 20 ש' 8).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38.</w:t>
      </w:r>
      <w:r w:rsidRPr="000543FD">
        <w:rPr>
          <w:rFonts w:ascii="David" w:eastAsia="Times New Roman" w:hAnsi="David" w:cs="David"/>
          <w:sz w:val="24"/>
          <w:szCs w:val="24"/>
          <w:rtl/>
        </w:rPr>
        <w:tab/>
        <w:t xml:space="preserve">בהמשך החקירה נשאלה הנאשמת מדוע ניסתה לפגוע במתלוננת, והאם בשל היותה יהודיה. היא חזרה על הטענה שמלכתחילה לא רצתה לדקור, וכי פגעה במתלוננת לא בשל היותה יהודיה אלא </w:t>
      </w:r>
      <w:r w:rsidRPr="000543FD">
        <w:rPr>
          <w:rFonts w:ascii="David" w:eastAsia="Times New Roman" w:hAnsi="David" w:cs="David"/>
          <w:b/>
          <w:bCs/>
          <w:sz w:val="24"/>
          <w:szCs w:val="24"/>
          <w:rtl/>
        </w:rPr>
        <w:t>"כי היא היתה היחידה שהולכת ברחוב. ואני לא התכוונתי להרביץ לילדים קטנים"</w:t>
      </w:r>
      <w:r w:rsidRPr="000543FD">
        <w:rPr>
          <w:rFonts w:ascii="David" w:eastAsia="Times New Roman" w:hAnsi="David" w:cs="David"/>
          <w:sz w:val="24"/>
          <w:szCs w:val="24"/>
          <w:rtl/>
        </w:rPr>
        <w:t xml:space="preserve"> (עמ' 22 ש' 23). הנאשמת הוסיפה: </w:t>
      </w:r>
      <w:r w:rsidRPr="000543FD">
        <w:rPr>
          <w:rFonts w:ascii="David" w:eastAsia="Times New Roman" w:hAnsi="David" w:cs="David"/>
          <w:b/>
          <w:bCs/>
          <w:sz w:val="24"/>
          <w:szCs w:val="24"/>
          <w:rtl/>
        </w:rPr>
        <w:t>"אני לא הייתי מתכוונת לדקור מישהו ואני אין לי, אני לא מבדילה בין יהודים וערבים"</w:t>
      </w:r>
      <w:r w:rsidRPr="000543FD">
        <w:rPr>
          <w:rFonts w:ascii="David" w:eastAsia="Times New Roman" w:hAnsi="David" w:cs="David"/>
          <w:sz w:val="24"/>
          <w:szCs w:val="24"/>
          <w:rtl/>
        </w:rPr>
        <w:t xml:space="preserve"> (עמ' 22 ש' 31).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39.</w:t>
      </w:r>
      <w:r w:rsidRPr="000543FD">
        <w:rPr>
          <w:rFonts w:ascii="David" w:eastAsia="Times New Roman" w:hAnsi="David" w:cs="David"/>
          <w:sz w:val="24"/>
          <w:szCs w:val="24"/>
          <w:rtl/>
        </w:rPr>
        <w:tab/>
        <w:t xml:space="preserve">בחקירתה הנגדית הסבירה הנאשמת כי במשטרה שמרה על זכות השתיקה מאחר שהסניגור אמר לה שמותר לה להכחיש ולשקר (עמ' 23 ש' 2-11). היא תיארה את יציאתה מהבית בבוקר האירוע, </w:t>
      </w:r>
      <w:r w:rsidRPr="000543FD">
        <w:rPr>
          <w:rFonts w:ascii="David" w:eastAsia="Times New Roman" w:hAnsi="David" w:cs="David"/>
          <w:sz w:val="24"/>
          <w:szCs w:val="24"/>
          <w:rtl/>
        </w:rPr>
        <w:lastRenderedPageBreak/>
        <w:t xml:space="preserve">חזרה על כך שלקחה את הסכין מקופסת הסכינים, וברחוב הורידה את כיסוי הראש, חבשה את הכובע והוציאה את הסכין מהתיק. לדבריה היתה במצב רוח עצבני וכעוס (עמ' 24). בדרך ראתה את האישה הולכת, </w:t>
      </w:r>
      <w:r w:rsidRPr="000543FD">
        <w:rPr>
          <w:rFonts w:ascii="David" w:eastAsia="Times New Roman" w:hAnsi="David" w:cs="David"/>
          <w:b/>
          <w:bCs/>
          <w:sz w:val="24"/>
          <w:szCs w:val="24"/>
          <w:rtl/>
        </w:rPr>
        <w:t>"נתתי לה מכה והמשכתי בדרך שלי לבית הספר"</w:t>
      </w:r>
      <w:r w:rsidRPr="000543FD">
        <w:rPr>
          <w:rFonts w:ascii="David" w:eastAsia="Times New Roman" w:hAnsi="David" w:cs="David"/>
          <w:sz w:val="24"/>
          <w:szCs w:val="24"/>
          <w:rtl/>
        </w:rPr>
        <w:t xml:space="preserve"> (עמ' 24 ש' 17, 18).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ab/>
        <w:t xml:space="preserve">הנאשמת נשאלה על כך שבמשטרה תיארה את מצב רוחה בבוקר האירוע כטוב, והשיבה כי היתה מבולבלת ולא יכלה להסביר דבר, וכי שיקרה לאחר שעורך הדין אמר לה שהיא יכולה להכחיש כל דבר (עמ' 24, 25). באשר לסכין שלקחה מביתה, הנאשמת טענה שבחרה אותו באופן אקראי, ולא בחרה דוקא בסכין גדול (עמ' 25, 26).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40.</w:t>
      </w:r>
      <w:r w:rsidRPr="000543FD">
        <w:rPr>
          <w:rFonts w:ascii="David" w:eastAsia="Times New Roman" w:hAnsi="David" w:cs="David"/>
          <w:sz w:val="24"/>
          <w:szCs w:val="24"/>
          <w:rtl/>
        </w:rPr>
        <w:tab/>
        <w:t>לנאשמת הוצגו סרטונים המתעדים את האירוע (ת/6, ת/7). היא אישרה כי היא נצפית יוצאת מביתה לכיוון בית הספר וכי עצרה כדי להוריד את כיסוי הראש וגם הוציאה את הסכין מהתיק (עמ' 26-27). לשאלה מדוע הוציאה את הסכין השיבה "</w:t>
      </w:r>
      <w:r w:rsidRPr="000543FD">
        <w:rPr>
          <w:rFonts w:ascii="David" w:eastAsia="Times New Roman" w:hAnsi="David" w:cs="David"/>
          <w:b/>
          <w:bCs/>
          <w:sz w:val="24"/>
          <w:szCs w:val="24"/>
          <w:rtl/>
        </w:rPr>
        <w:t>לא יודעת</w:t>
      </w:r>
      <w:r w:rsidRPr="000543FD">
        <w:rPr>
          <w:rFonts w:ascii="David" w:eastAsia="Times New Roman" w:hAnsi="David" w:cs="David"/>
          <w:sz w:val="24"/>
          <w:szCs w:val="24"/>
          <w:rtl/>
        </w:rPr>
        <w:t>" וטענה כי עשתה זאת "</w:t>
      </w:r>
      <w:r w:rsidRPr="000543FD">
        <w:rPr>
          <w:rFonts w:ascii="David" w:eastAsia="Times New Roman" w:hAnsi="David" w:cs="David"/>
          <w:b/>
          <w:bCs/>
          <w:sz w:val="24"/>
          <w:szCs w:val="24"/>
          <w:rtl/>
        </w:rPr>
        <w:t>סתם בלי סיבה</w:t>
      </w:r>
      <w:r w:rsidRPr="000543FD">
        <w:rPr>
          <w:rFonts w:ascii="David" w:eastAsia="Times New Roman" w:hAnsi="David" w:cs="David"/>
          <w:sz w:val="24"/>
          <w:szCs w:val="24"/>
          <w:rtl/>
        </w:rPr>
        <w:t xml:space="preserve">" (עמ' 27). הנאשמת נשאלה אם הבינה שהאישה (המתלוננת) יהודיה, כאשר ניתן לראות שהיא חובשת כיסוי ראש וילדיה חובשים כיפות, והשיבה כי אינה יודעת (עמ' 29). היא תיארה את מעשיה – </w:t>
      </w:r>
      <w:r w:rsidRPr="000543FD">
        <w:rPr>
          <w:rFonts w:ascii="David" w:eastAsia="Times New Roman" w:hAnsi="David" w:cs="David"/>
          <w:b/>
          <w:bCs/>
          <w:sz w:val="24"/>
          <w:szCs w:val="24"/>
          <w:rtl/>
        </w:rPr>
        <w:t xml:space="preserve">"נתתי לה מכה וברחתי" </w:t>
      </w:r>
      <w:r w:rsidRPr="000543FD">
        <w:rPr>
          <w:rFonts w:ascii="David" w:eastAsia="Times New Roman" w:hAnsi="David" w:cs="David"/>
          <w:sz w:val="24"/>
          <w:szCs w:val="24"/>
          <w:rtl/>
        </w:rPr>
        <w:t xml:space="preserve">(עמ' 33 ש' 22), וטענה כי אינה זוכרת לאן כיוונה את המכה וכיצד החזיקה בסכין עובר לדקירה (עמ' 33 ש' 33 – עמ' 34 ש' 4). תשובה דומה השיבה גם לשאלות אם חיכתה לרגע הנכון לדקור את המתלוננת ואם התכוונה לדקור אותה דוקא בגב (עמ' 35).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41.</w:t>
      </w:r>
      <w:r w:rsidRPr="000543FD">
        <w:rPr>
          <w:rFonts w:ascii="David" w:eastAsia="Times New Roman" w:hAnsi="David" w:cs="David"/>
          <w:sz w:val="24"/>
          <w:szCs w:val="24"/>
          <w:rtl/>
        </w:rPr>
        <w:tab/>
        <w:t xml:space="preserve">הנאשמת אישרה כי </w:t>
      </w:r>
      <w:r w:rsidRPr="000543FD">
        <w:rPr>
          <w:rFonts w:ascii="David" w:eastAsia="Times New Roman" w:hAnsi="David" w:cs="David"/>
          <w:b/>
          <w:bCs/>
          <w:sz w:val="24"/>
          <w:szCs w:val="24"/>
          <w:rtl/>
        </w:rPr>
        <w:t>"יכול להיות"</w:t>
      </w:r>
      <w:r w:rsidRPr="000543FD">
        <w:rPr>
          <w:rFonts w:ascii="David" w:eastAsia="Times New Roman" w:hAnsi="David" w:cs="David"/>
          <w:sz w:val="24"/>
          <w:szCs w:val="24"/>
          <w:rtl/>
        </w:rPr>
        <w:t xml:space="preserve"> שלאחר הדקירה הסכין נשאר תקוע בגבה של המתלוננת (עמ' 46 ש' 24-27). היא הסבירה: "</w:t>
      </w:r>
      <w:r w:rsidRPr="000543FD">
        <w:rPr>
          <w:rFonts w:ascii="David" w:eastAsia="Times New Roman" w:hAnsi="David" w:cs="David"/>
          <w:b/>
          <w:bCs/>
          <w:sz w:val="24"/>
          <w:szCs w:val="24"/>
          <w:rtl/>
        </w:rPr>
        <w:t>אני מהתחלה לא רציתי לדקור ולא רציתי להמשיך בדקירה. וכל בן אדם שתכנן לעשות מעשה כזה, הוא היה יכול לקחת את הסכין ולחזור על הדקירה. אבל אני לא תכננתי בכלל לדקור</w:t>
      </w:r>
      <w:r w:rsidRPr="000543FD">
        <w:rPr>
          <w:rFonts w:ascii="David" w:eastAsia="Times New Roman" w:hAnsi="David" w:cs="David"/>
          <w:sz w:val="24"/>
          <w:szCs w:val="24"/>
          <w:rtl/>
        </w:rPr>
        <w:t>"</w:t>
      </w:r>
      <w:r>
        <w:rPr>
          <w:rFonts w:ascii="David" w:eastAsia="Times New Roman" w:hAnsi="David" w:cs="David" w:hint="cs"/>
          <w:sz w:val="24"/>
          <w:szCs w:val="24"/>
          <w:rtl/>
        </w:rPr>
        <w:t>.</w:t>
      </w:r>
      <w:r w:rsidRPr="000543FD">
        <w:rPr>
          <w:rFonts w:ascii="David" w:eastAsia="Times New Roman" w:hAnsi="David" w:cs="David"/>
          <w:sz w:val="24"/>
          <w:szCs w:val="24"/>
          <w:rtl/>
        </w:rPr>
        <w:t xml:space="preserve"> אך לא ידעה להשיב מדוע ברחה ולא נשארה לעזור למתלוננת (עמ' 47, ש' 10-11). כשהוטח בפניה כי תכננה לדקור את המתלוננת, ולצורך כך הוציאה את הסכין מהתיק וכיוונה אותו לגבה של המתלוננת, השיבה: "</w:t>
      </w:r>
      <w:r w:rsidRPr="000543FD">
        <w:rPr>
          <w:rFonts w:ascii="David" w:eastAsia="Times New Roman" w:hAnsi="David" w:cs="David"/>
          <w:b/>
          <w:bCs/>
          <w:sz w:val="24"/>
          <w:szCs w:val="24"/>
          <w:rtl/>
        </w:rPr>
        <w:t>ואני אומרת לך, לא, לא רציתי לדקור אותה. ואני לא יודעת מה קרה באותו רגע ובגלל מה קרה הדבר הזה ואני לא רציתי לדקור אותה</w:t>
      </w:r>
      <w:r w:rsidRPr="000543FD">
        <w:rPr>
          <w:rFonts w:ascii="David" w:eastAsia="Times New Roman" w:hAnsi="David" w:cs="David"/>
          <w:sz w:val="24"/>
          <w:szCs w:val="24"/>
          <w:rtl/>
        </w:rPr>
        <w:t xml:space="preserve">... </w:t>
      </w:r>
      <w:r w:rsidRPr="000543FD">
        <w:rPr>
          <w:rFonts w:ascii="David" w:eastAsia="Times New Roman" w:hAnsi="David" w:cs="David"/>
          <w:b/>
          <w:bCs/>
          <w:sz w:val="24"/>
          <w:szCs w:val="24"/>
          <w:rtl/>
        </w:rPr>
        <w:t>איך אתה החלטת שאני רציתי להרוג אותה?</w:t>
      </w:r>
      <w:r w:rsidRPr="000543FD">
        <w:rPr>
          <w:rFonts w:ascii="David" w:eastAsia="Times New Roman" w:hAnsi="David" w:cs="David"/>
          <w:sz w:val="24"/>
          <w:szCs w:val="24"/>
          <w:rtl/>
        </w:rPr>
        <w:t xml:space="preserve">... </w:t>
      </w:r>
      <w:r w:rsidRPr="000543FD">
        <w:rPr>
          <w:rFonts w:ascii="David" w:eastAsia="Times New Roman" w:hAnsi="David" w:cs="David"/>
          <w:b/>
          <w:bCs/>
          <w:sz w:val="24"/>
          <w:szCs w:val="24"/>
          <w:rtl/>
        </w:rPr>
        <w:t>אם אני התכוונתי להרוג אותה, הייתי חוזרת על הדקירה עוד פעם ופעם, אבל אני עשיתי את זה רק פעם אחת</w:t>
      </w:r>
      <w:r w:rsidRPr="000543FD">
        <w:rPr>
          <w:rFonts w:ascii="David" w:eastAsia="Times New Roman" w:hAnsi="David" w:cs="David"/>
          <w:sz w:val="24"/>
          <w:szCs w:val="24"/>
          <w:rtl/>
        </w:rPr>
        <w:t xml:space="preserve">" (עמ' 48, ש' 12-22).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42.</w:t>
      </w:r>
      <w:r w:rsidRPr="000543FD">
        <w:rPr>
          <w:rFonts w:ascii="David" w:eastAsia="Times New Roman" w:hAnsi="David" w:cs="David"/>
          <w:sz w:val="24"/>
          <w:szCs w:val="24"/>
          <w:rtl/>
        </w:rPr>
        <w:tab/>
        <w:t>מהאמור עד כה עולה כי במהלך כל החקירה במשטרה, גם לאחר שנועצה עם עו"ד, הנאשמת הכחישה את המיוחס לה. היא הרחיקה עצמה מהמעשים, ולא אישרה את זהותה</w:t>
      </w:r>
      <w:r>
        <w:rPr>
          <w:rFonts w:ascii="David" w:eastAsia="Times New Roman" w:hAnsi="David" w:cs="David" w:hint="cs"/>
          <w:sz w:val="24"/>
          <w:szCs w:val="24"/>
          <w:rtl/>
        </w:rPr>
        <w:t xml:space="preserve"> שלה</w:t>
      </w:r>
      <w:r w:rsidRPr="000543FD">
        <w:rPr>
          <w:rFonts w:ascii="David" w:eastAsia="Times New Roman" w:hAnsi="David" w:cs="David"/>
          <w:sz w:val="24"/>
          <w:szCs w:val="24"/>
          <w:rtl/>
        </w:rPr>
        <w:t xml:space="preserve"> עצמה בסרטונים</w:t>
      </w:r>
      <w:r>
        <w:rPr>
          <w:rFonts w:ascii="David" w:eastAsia="Times New Roman" w:hAnsi="David" w:cs="David" w:hint="cs"/>
          <w:sz w:val="24"/>
          <w:szCs w:val="24"/>
          <w:rtl/>
        </w:rPr>
        <w:t>,</w:t>
      </w:r>
      <w:r w:rsidRPr="000543FD">
        <w:rPr>
          <w:rFonts w:ascii="David" w:eastAsia="Times New Roman" w:hAnsi="David" w:cs="David"/>
          <w:sz w:val="24"/>
          <w:szCs w:val="24"/>
          <w:rtl/>
        </w:rPr>
        <w:t xml:space="preserve"> על אף שבחלקים מהם ניתן לראות בבירור רב הן את הנאשמת ומעשיה, הן את המתלוננת והן את הסביבה, באופן שאינו מותיר ספק אמיתי.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גם בעדותה בבית המשפט, לאחר שהחליטה, לדבריה, לומר את האמת, הנאשמת לא סיפרה את האמת במלואה. היא לא מסרה גירסה הגיונית וקוהרנטית. הנאשמת טענה פעם אחר פעם כי לא תכננה לפגוע במתלוננת, וכי גם כשרצתה לפגוע בה תכננה להכותה בלבד. לא ברור, איפוא, כיצד הפכה אותה מכה לדקירה, ואם אכן לא תכננה לדקור, מדוע הצטיידה בסכין, נשאה אותו בתיקה ולאחר מכן הוציאה אותו מהתיק. הנאשמת אף לא העלתה מעולם טענה שהתכוונה לדקור את המתלוננת אך </w:t>
      </w:r>
      <w:r w:rsidRPr="000543FD">
        <w:rPr>
          <w:rFonts w:ascii="David" w:eastAsia="Times New Roman" w:hAnsi="David" w:cs="David"/>
          <w:sz w:val="24"/>
          <w:szCs w:val="24"/>
          <w:rtl/>
        </w:rPr>
        <w:lastRenderedPageBreak/>
        <w:t xml:space="preserve">לא לגרום למותה. הטענה שהיתה מבולבלת או שמצב רוחה לא היתה טוב אינה יכולה לשמש תחליף להסבר הגיוני מצידה של הנאשמת.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גם בסיכומים לא ניתן למעשה הסבר אחר למעשי הנאשמת, </w:t>
      </w:r>
      <w:r>
        <w:rPr>
          <w:rFonts w:ascii="David" w:eastAsia="Times New Roman" w:hAnsi="David" w:cs="David" w:hint="cs"/>
          <w:sz w:val="24"/>
          <w:szCs w:val="24"/>
          <w:rtl/>
        </w:rPr>
        <w:t>שונה</w:t>
      </w:r>
      <w:r w:rsidRPr="000543FD">
        <w:rPr>
          <w:rFonts w:ascii="David" w:eastAsia="Times New Roman" w:hAnsi="David" w:cs="David"/>
          <w:sz w:val="24"/>
          <w:szCs w:val="24"/>
          <w:rtl/>
        </w:rPr>
        <w:t xml:space="preserve"> מהנטען בכתב האישום. זאת על אף הערות ותהיות מטעם בית המשפט, שהתייחסו, בין היתר, למניעיה של המתלוננת, לסיבה להצטיידות בסכין ולהוצאתו מהתיק, לסיבה לבחור דוקא במתלוננת, ועוד.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43.</w:t>
      </w:r>
      <w:r w:rsidRPr="000543FD">
        <w:rPr>
          <w:rFonts w:ascii="David" w:eastAsia="Times New Roman" w:hAnsi="David" w:cs="David"/>
          <w:sz w:val="24"/>
          <w:szCs w:val="24"/>
          <w:rtl/>
        </w:rPr>
        <w:tab/>
        <w:t xml:space="preserve">בנסיבות אלו, לנוכח שקריה השיטתיים של המתלוננת והעדר גירסה הגיונית ומתקבלת על הדעת, מתחייבת המסקנה שלא ניתן להאמין לדבריה של הנאשמת, ולא ניתן למצוא בהם הסבר כלשהו למעשיה.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לנוכח כל האמור עד כה, נעבור לבחון את התקיימות יסודות העבירה של נסיון לרצח.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התקיימות יסודות העבירה של נסיון לרצח</w:t>
      </w:r>
      <w:r w:rsidRPr="000543FD">
        <w:rPr>
          <w:rFonts w:ascii="David" w:eastAsia="Times New Roman" w:hAnsi="David" w:cs="David" w:hint="cs"/>
          <w:b/>
          <w:bCs/>
          <w:sz w:val="24"/>
          <w:szCs w:val="24"/>
          <w:u w:val="single"/>
          <w:rtl/>
        </w:rPr>
        <w:t xml:space="preserve"> ממניע גזעני</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44.</w:t>
      </w:r>
      <w:r w:rsidRPr="000543FD">
        <w:rPr>
          <w:rFonts w:ascii="David" w:eastAsia="Times New Roman" w:hAnsi="David" w:cs="David"/>
          <w:sz w:val="24"/>
          <w:szCs w:val="24"/>
          <w:rtl/>
        </w:rPr>
        <w:tab/>
        <w:t xml:space="preserve">מבחינת היסוד העובדתי, אין מחלוקת על כך שהנאשמת הצטיידה בסכין בעת שיצאה מביתה. מעשה זה, כמו גם הוצאת הסכין מהתיק לאחר שהמתלוננת יצאה מביתה, עונות על הדרישה הפיזית של הכנה. בהעדר הסבר כלשהו להצטיידות בסכין, הרי שעובדות אלו מצביעות גם על החלטה להמית, על ידי שימוש בסכין ודקירת המתלוננת. אין מחלוקת על העדר קינטור במקרה זה, והסניגורים לא העלו כל טענה בעניין.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באשר להוכחת היסוד הנפשי של כוונה להמית, דנו לעיל במבחנים וקווים מנחים שנקבעו בפסיקה לקיומה של כוונה כזו. עתה נבחן את יישומם של המבחנים בענייננו.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45.</w:t>
      </w:r>
      <w:r w:rsidRPr="000543FD">
        <w:rPr>
          <w:rFonts w:ascii="David" w:eastAsia="Times New Roman" w:hAnsi="David" w:cs="David"/>
          <w:sz w:val="24"/>
          <w:szCs w:val="24"/>
          <w:rtl/>
        </w:rPr>
        <w:tab/>
        <w:t xml:space="preserve">הפגיעה במנוחה בוצעה על ידי דקירה בסכין. אין ספק כי סכין הוא כלי מסוכן, היכול לשמש כנשק קר. בסרטון נראית הנאשמת בבירור כשהיא מתקרבת למתלוננת, מכוונת את ידה ונועצת את הסכין בגופה של המתלוננת.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מבחינת מקום הפגיעה, מדובר בפלג העליון של הגב, בבית החזה. כפי שהובהר בעדותו של ד"ר קופיאצקי, מדובר באזור רגיש שהפגיעה בו עלולה לגרום לפגיעה באיברים חיוניים ולהיות מסכנת חיים. מבחינה רפואית פגיעה באזור זה נחשבת מסכנת חיים כל עוד לא התקיימה בדיקה ונשללה הסכנה.</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46.</w:t>
      </w:r>
      <w:r w:rsidRPr="000543FD">
        <w:rPr>
          <w:rFonts w:ascii="David" w:eastAsia="Times New Roman" w:hAnsi="David" w:cs="David"/>
          <w:sz w:val="24"/>
          <w:szCs w:val="24"/>
          <w:rtl/>
        </w:rPr>
        <w:tab/>
        <w:t>מבחינת עוצמת הדקירה, לכאורה אין מדובר בעוצמה חזקה, שכן למתלוננת נגרמה פציעה שטחית בלבד (עומק שהוערך ע"י ד"ר קופיאצקי בין 0.5 לבין 1.5 ס"מ). עם זאת, בבחינה מדוקדקת יותר ספק אם מדובר בפגיעה בעוצמה נמוכה. ראשית, גם הפציעה השטחית היא פציעה של ממש. אין מדובר בשריטה, הסכין חדר חדירה ממשית לגופה של המתלוננת, וזאת למרות שלבשה מעיל או בגד פליז שאף אותו היה על הסכין לחדור. הסכין אף נותר בגופה של המתלוננת עד שהוצא בבית החולים, ואף עובדה זו מצביעה על חדירה לעומק משמעותי. שנית, הנאשמת היא צעירה ואינה בעל</w:t>
      </w:r>
      <w:r w:rsidR="00D3503D">
        <w:rPr>
          <w:rFonts w:ascii="David" w:eastAsia="Times New Roman" w:hAnsi="David" w:cs="David" w:hint="cs"/>
          <w:sz w:val="24"/>
          <w:szCs w:val="24"/>
          <w:rtl/>
        </w:rPr>
        <w:t>ת</w:t>
      </w:r>
      <w:r w:rsidRPr="000543FD">
        <w:rPr>
          <w:rFonts w:ascii="David" w:eastAsia="Times New Roman" w:hAnsi="David" w:cs="David"/>
          <w:sz w:val="24"/>
          <w:szCs w:val="24"/>
          <w:rtl/>
        </w:rPr>
        <w:t xml:space="preserve"> נסיון </w:t>
      </w:r>
      <w:r w:rsidRPr="000543FD">
        <w:rPr>
          <w:rFonts w:ascii="David" w:eastAsia="Times New Roman" w:hAnsi="David" w:cs="David"/>
          <w:sz w:val="24"/>
          <w:szCs w:val="24"/>
          <w:rtl/>
        </w:rPr>
        <w:lastRenderedPageBreak/>
        <w:t xml:space="preserve">רלוונטי, כך שניתן להניח שלא ידעה להעריך את עוצמת המכה הנדרשת. </w:t>
      </w:r>
      <w:r>
        <w:rPr>
          <w:rFonts w:ascii="David" w:eastAsia="Times New Roman" w:hAnsi="David" w:cs="David" w:hint="cs"/>
          <w:sz w:val="24"/>
          <w:szCs w:val="24"/>
          <w:rtl/>
        </w:rPr>
        <w:t>כך ש</w:t>
      </w:r>
      <w:r w:rsidRPr="000543FD">
        <w:rPr>
          <w:rFonts w:ascii="David" w:eastAsia="Times New Roman" w:hAnsi="David" w:cs="David"/>
          <w:sz w:val="24"/>
          <w:szCs w:val="24"/>
          <w:rtl/>
        </w:rPr>
        <w:t xml:space="preserve">גם הפגיעה הקיימת מעידה על הפעלת כח לא מבוטל שאפשרה חדירת הסכין וגרימת פציעה משמעותית. פגיעה זו תואמת גם את תנועת הנפת היד והדקירה בכח הנראית בסרטונים.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47.</w:t>
      </w:r>
      <w:r w:rsidRPr="000543FD">
        <w:rPr>
          <w:rFonts w:ascii="David" w:eastAsia="Times New Roman" w:hAnsi="David" w:cs="David"/>
          <w:sz w:val="24"/>
          <w:szCs w:val="24"/>
          <w:rtl/>
        </w:rPr>
        <w:tab/>
        <w:t xml:space="preserve">מבחינת כמות הדקירות, מדובר במקרה זה בדקירה יחידה. גם דקירה יחידה עשויה, בנסיבות מסוימות, להיחשב כמצביעה על כוונה להמית ולאפשר הרשעה ברצח או בנסיון לרצח (ראו </w:t>
      </w:r>
      <w:r w:rsidRPr="000543FD">
        <w:rPr>
          <w:rFonts w:ascii="David" w:eastAsia="Times New Roman" w:hAnsi="David" w:cs="David"/>
          <w:b/>
          <w:bCs/>
          <w:sz w:val="24"/>
          <w:szCs w:val="24"/>
          <w:rtl/>
        </w:rPr>
        <w:t>עניין פסקו</w:t>
      </w:r>
      <w:r>
        <w:rPr>
          <w:rFonts w:ascii="David" w:eastAsia="Times New Roman" w:hAnsi="David" w:cs="David"/>
          <w:sz w:val="24"/>
          <w:szCs w:val="24"/>
          <w:rtl/>
        </w:rPr>
        <w:t xml:space="preserve"> לעיל). במקרה זה הדקירה נעשתה</w:t>
      </w:r>
      <w:r>
        <w:rPr>
          <w:rFonts w:ascii="David" w:eastAsia="Times New Roman" w:hAnsi="David" w:cs="David" w:hint="cs"/>
          <w:sz w:val="24"/>
          <w:szCs w:val="24"/>
          <w:rtl/>
        </w:rPr>
        <w:t xml:space="preserve"> </w:t>
      </w:r>
      <w:r w:rsidRPr="000543FD">
        <w:rPr>
          <w:rFonts w:ascii="David" w:eastAsia="Times New Roman" w:hAnsi="David" w:cs="David"/>
          <w:sz w:val="24"/>
          <w:szCs w:val="24"/>
          <w:rtl/>
        </w:rPr>
        <w:t>באזור בית החזה</w:t>
      </w:r>
      <w:r>
        <w:rPr>
          <w:rFonts w:ascii="David" w:eastAsia="Times New Roman" w:hAnsi="David" w:cs="David" w:hint="cs"/>
          <w:sz w:val="24"/>
          <w:szCs w:val="24"/>
          <w:rtl/>
        </w:rPr>
        <w:t>. כך שגם מבחן זה תומך בקיומה של כוונה להמית, גם אם באופן מובהק פחות.</w:t>
      </w:r>
      <w:r w:rsidRPr="000543FD">
        <w:rPr>
          <w:rFonts w:ascii="David" w:eastAsia="Times New Roman" w:hAnsi="David" w:cs="David"/>
          <w:sz w:val="24"/>
          <w:szCs w:val="24"/>
          <w:rtl/>
        </w:rPr>
        <w:t xml:space="preserve">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48.</w:t>
      </w:r>
      <w:r w:rsidRPr="000543FD">
        <w:rPr>
          <w:rFonts w:ascii="David" w:eastAsia="Times New Roman" w:hAnsi="David" w:cs="David"/>
          <w:sz w:val="24"/>
          <w:szCs w:val="24"/>
          <w:rtl/>
        </w:rPr>
        <w:tab/>
        <w:t xml:space="preserve">שיקול נוסף שנזכר בפסק הדין </w:t>
      </w:r>
      <w:r w:rsidRPr="000543FD">
        <w:rPr>
          <w:rFonts w:ascii="David" w:eastAsia="Times New Roman" w:hAnsi="David" w:cs="David"/>
          <w:b/>
          <w:bCs/>
          <w:sz w:val="24"/>
          <w:szCs w:val="24"/>
          <w:rtl/>
        </w:rPr>
        <w:t>בעניין קוטינה</w:t>
      </w:r>
      <w:r w:rsidRPr="000543FD">
        <w:rPr>
          <w:rFonts w:ascii="David" w:eastAsia="Times New Roman" w:hAnsi="David" w:cs="David"/>
          <w:sz w:val="24"/>
          <w:szCs w:val="24"/>
          <w:rtl/>
        </w:rPr>
        <w:t>, עליו עמדנו לעיל, נוגע לסוגיית החקיינות ו"שכפול" של דפוס התנהגות. הפגיעה בדרך של דקירה בסכין, המבוצעת בדרך כלל בפלג הגוף העליו</w:t>
      </w:r>
      <w:r w:rsidR="00E01812">
        <w:rPr>
          <w:rFonts w:ascii="David" w:eastAsia="Times New Roman" w:hAnsi="David" w:cs="David" w:hint="cs"/>
          <w:sz w:val="24"/>
          <w:szCs w:val="24"/>
          <w:rtl/>
        </w:rPr>
        <w:t>ן</w:t>
      </w:r>
      <w:r w:rsidRPr="000543FD">
        <w:rPr>
          <w:rFonts w:ascii="David" w:eastAsia="Times New Roman" w:hAnsi="David" w:cs="David"/>
          <w:sz w:val="24"/>
          <w:szCs w:val="24"/>
          <w:rtl/>
        </w:rPr>
        <w:t xml:space="preserve">,  היא דפוס ידוע ומוכר אשר למרבה הצער גרם לא אחת לתוצאות קשות ובמקרים רבים אף קטלניות. הנאשמת, בדומה לכלל תושבי המדינה, היתה, מן הסתם, מודעת לכך. היא לא סללה בעצמה את הדרך, אלא בחרה לבצע את המעשה בעקבות אחרים, שפעלו כך לפניה. במצב זה, הנאשמת היתה מודעת לכך שפיגועי דקירה עלולים לגרום למותו של הנדקר, ומכאן ניתן להסיק גם על כוונתה שלה לגרום למותה של המתלוננת.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49.</w:t>
      </w:r>
      <w:r w:rsidRPr="000543FD">
        <w:rPr>
          <w:rFonts w:ascii="David" w:eastAsia="Times New Roman" w:hAnsi="David" w:cs="David"/>
          <w:sz w:val="24"/>
          <w:szCs w:val="24"/>
          <w:rtl/>
        </w:rPr>
        <w:tab/>
        <w:t xml:space="preserve">תמיכה נוספת במסקנה ניתן למצוא בגרסתה של הנאשמת עצמה, אשר לא נתנה הסבר סביר למעשיה וכוונותיה. כמפורט לעיל, הנאשמת נקטה תחילה בדרך של הכחשה גורפת, ולאחר מכן טענה כי התכוונה רק להכות את המתלוננת, אך בסופו של דבר התברר לה כי דקרה אותה. אין ספק שמדובר בגירסה מופרכת. ראשית, היא עומדת בניגוד לתנועות הברורות של נטילת הסכין והנפתו לעבר גופה של המתלוננת עד לפגיעה בה. שנית, אין כל הגיון בטענה שהנאשמת התכוונה להכות את המתלוננת, ורק בדיעבד התברר לה כי דקרה אותה. על אחת כמה וכמה כאשר הצטיידה מראש בסכין, והוציאה אותו מתיקה בסמוך לזמן האירוע. בנסיבות אלו יש להניח כי מי שדקרה את קורבנה בסכין חד באזור בית החזה, התכוונה לגרום למותה.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50.</w:t>
      </w:r>
      <w:r w:rsidRPr="000543FD">
        <w:rPr>
          <w:rFonts w:ascii="David" w:eastAsia="Times New Roman" w:hAnsi="David" w:cs="David"/>
          <w:sz w:val="24"/>
          <w:szCs w:val="24"/>
          <w:rtl/>
        </w:rPr>
        <w:tab/>
        <w:t xml:space="preserve">גם אם רצונה של הנאשמת לגרום למותה של המתלוננת של אדם לא היה מלא או בלעדי, אם נלוותה אליו עמדה אמביוולנטית או הססנית, אין בכך כדי לסייע לנאשמת, כפי שהובהר בעניין </w:t>
      </w:r>
      <w:r w:rsidRPr="000543FD">
        <w:rPr>
          <w:rFonts w:ascii="David" w:eastAsia="Times New Roman" w:hAnsi="David" w:cs="David"/>
          <w:b/>
          <w:bCs/>
          <w:sz w:val="24"/>
          <w:szCs w:val="24"/>
          <w:rtl/>
        </w:rPr>
        <w:t>קוטינה</w:t>
      </w:r>
      <w:r w:rsidRPr="000543FD">
        <w:rPr>
          <w:rFonts w:ascii="David" w:eastAsia="Times New Roman" w:hAnsi="David" w:cs="David"/>
          <w:sz w:val="24"/>
          <w:szCs w:val="24"/>
          <w:rtl/>
        </w:rPr>
        <w:t xml:space="preserve"> הנ"ל. שם, בפסקה 17 לפסק הדין, דן בית המשפט בשתי החזקות – הלכת הצפיות וחזקת הכוונה, וקבע:</w:t>
      </w:r>
    </w:p>
    <w:p w:rsidR="000543FD" w:rsidRPr="000543FD" w:rsidRDefault="000543FD" w:rsidP="000543FD">
      <w:pPr>
        <w:spacing w:before="80" w:after="80" w:line="360" w:lineRule="auto"/>
        <w:ind w:left="708" w:right="851"/>
        <w:jc w:val="both"/>
        <w:rPr>
          <w:rFonts w:ascii="David" w:eastAsia="Times New Roman" w:hAnsi="David" w:cs="David"/>
          <w:b/>
          <w:bCs/>
          <w:sz w:val="24"/>
          <w:szCs w:val="24"/>
          <w:rtl/>
        </w:rPr>
      </w:pPr>
      <w:r w:rsidRPr="000543FD">
        <w:rPr>
          <w:rFonts w:ascii="David" w:eastAsia="Times New Roman" w:hAnsi="David" w:cs="David"/>
          <w:b/>
          <w:bCs/>
          <w:sz w:val="24"/>
          <w:szCs w:val="24"/>
          <w:rtl/>
        </w:rPr>
        <w:t xml:space="preserve">"הפועל היוצא של שני הכללים הינו זה: נאשם שגורם לתוצאה אסורה על ידי עשיית מעשה רצוני פועל מתוך כוונה, אלא אם הוא עשה את אשר עשה ללא מודעות לרכיביו העובדתיים של מעשהו ולתוצאתו המסתברת. בכגון דא, די לנאשם להיות מודע לכך שמעשהו יגרום לתוצאה האסורה ומודעות זו יכול שתשתמע מתוך המעשה גופו או מכוח חזקת הכוונה. באין חלל תודעתי, נאשם כאמור אינו יכול להיבנות מהעדר תשובה חד-משמעית לשאלה האם ועד כמה הוא חפץ באותה תוצאה. עמימות רגשית ביחסו אל תוצאות מעשהו אינה מעלה ואינה </w:t>
      </w:r>
      <w:r w:rsidRPr="000543FD">
        <w:rPr>
          <w:rFonts w:ascii="David" w:eastAsia="Times New Roman" w:hAnsi="David" w:cs="David"/>
          <w:b/>
          <w:bCs/>
          <w:sz w:val="24"/>
          <w:szCs w:val="24"/>
          <w:rtl/>
        </w:rPr>
        <w:lastRenderedPageBreak/>
        <w:t>מורידה. לפיכך, אדם פועל מתוך כוונה להמית כל אימת שהוא יודע או צופה ברמת הסתברות גבוהה כי מעשהו עלול לגרום למותו של אדם אחר, ולמרות זאת איננו חדל מעשות את אותו מעשה רצוני. העובדה שמדובר בכוונה לא שלמה, מהוססת, עקיפה, או אמביוולנטית</w:t>
      </w:r>
      <w:r w:rsidRPr="000543FD">
        <w:rPr>
          <w:rFonts w:ascii="David" w:eastAsia="Times New Roman" w:hAnsi="David" w:cs="David" w:hint="cs"/>
          <w:b/>
          <w:bCs/>
          <w:sz w:val="24"/>
          <w:szCs w:val="24"/>
          <w:rtl/>
        </w:rPr>
        <w:t xml:space="preserve"> -</w:t>
      </w:r>
      <w:r w:rsidRPr="000543FD">
        <w:rPr>
          <w:rFonts w:ascii="David" w:eastAsia="Times New Roman" w:hAnsi="David" w:cs="David"/>
          <w:b/>
          <w:bCs/>
          <w:sz w:val="24"/>
          <w:szCs w:val="24"/>
          <w:rtl/>
        </w:rPr>
        <w:t xml:space="preserve"> ובכלל זה כוונה המעורבת עם תקווה שהקורבן יישאר בחיים, איננה משנה דבר או חצי דבר. כך הוא גם לגבי אדם בר-דעת אשר מביא למות קורבנו על-ידי מעשה רצוני שבמהלך עניינים רגיל וטבעי הורג אנשים. באין ראיות לסתור, ראוי להסיק לגבי אדם כזה שהיתה לו כוונה לגרום למותו של הקורבן </w:t>
      </w:r>
      <w:r w:rsidRPr="000543FD">
        <w:rPr>
          <w:rFonts w:ascii="David" w:eastAsia="Times New Roman" w:hAnsi="David" w:cs="David" w:hint="cs"/>
          <w:b/>
          <w:bCs/>
          <w:sz w:val="24"/>
          <w:szCs w:val="24"/>
          <w:rtl/>
        </w:rPr>
        <w:t>-</w:t>
      </w:r>
      <w:r w:rsidRPr="000543FD">
        <w:rPr>
          <w:rFonts w:ascii="David" w:eastAsia="Times New Roman" w:hAnsi="David" w:cs="David"/>
          <w:b/>
          <w:bCs/>
          <w:sz w:val="24"/>
          <w:szCs w:val="24"/>
          <w:rtl/>
        </w:rPr>
        <w:t xml:space="preserve"> כוונה שכאמור מצויה בפעילות סינרגטית ומתואמת של המוח ושאר חלקי הגוף. בכל אחד מהמקרים הללו (ובכפיפות לפטור מן האחריות מחמת העדר שליטה פיזית על מעשים, הקבוע </w:t>
      </w:r>
      <w:hyperlink r:id="rId11" w:history="1">
        <w:r w:rsidRPr="000543FD">
          <w:rPr>
            <w:rFonts w:ascii="David" w:eastAsia="Times New Roman" w:hAnsi="David" w:cs="David"/>
            <w:b/>
            <w:bCs/>
            <w:sz w:val="24"/>
            <w:szCs w:val="24"/>
            <w:rtl/>
          </w:rPr>
          <w:t>בסעיף 34ז</w:t>
        </w:r>
      </w:hyperlink>
      <w:r w:rsidRPr="000543FD">
        <w:rPr>
          <w:rFonts w:ascii="David" w:eastAsia="Times New Roman" w:hAnsi="David" w:cs="David"/>
          <w:b/>
          <w:bCs/>
          <w:sz w:val="24"/>
          <w:szCs w:val="24"/>
          <w:rtl/>
        </w:rPr>
        <w:t xml:space="preserve"> ל</w:t>
      </w:r>
      <w:hyperlink r:id="rId12" w:history="1">
        <w:r w:rsidRPr="000543FD">
          <w:rPr>
            <w:rFonts w:ascii="David" w:eastAsia="Times New Roman" w:hAnsi="David" w:cs="David"/>
            <w:b/>
            <w:bCs/>
            <w:sz w:val="24"/>
            <w:szCs w:val="24"/>
            <w:rtl/>
          </w:rPr>
          <w:t>חוק העונשין</w:t>
        </w:r>
      </w:hyperlink>
      <w:r w:rsidRPr="000543FD">
        <w:rPr>
          <w:rFonts w:ascii="David" w:eastAsia="Times New Roman" w:hAnsi="David" w:cs="David"/>
          <w:b/>
          <w:bCs/>
          <w:sz w:val="24"/>
          <w:szCs w:val="24"/>
          <w:rtl/>
        </w:rPr>
        <w:t>), המסקנה בדבר קיום הכוונה להמית תתבטל רק במצב שתיארתיו כחלל תודעתי: היות הנאשם בלתי מודע למהות מעשהו או לתוצאותיו".</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51.</w:t>
      </w:r>
      <w:r w:rsidRPr="000543FD">
        <w:rPr>
          <w:rFonts w:ascii="David" w:eastAsia="Times New Roman" w:hAnsi="David" w:cs="David"/>
          <w:sz w:val="24"/>
          <w:szCs w:val="24"/>
          <w:rtl/>
        </w:rPr>
        <w:tab/>
        <w:t xml:space="preserve">המסקנה העולה מכל האמור לעיל היא שמעשיה של הנאשמת עונים אחר היסוד העובדתי והיסוד הנפשי הנדרשים להרשעה בעבירה של נסיון לרצח. </w:t>
      </w:r>
    </w:p>
    <w:p w:rsidR="000543FD" w:rsidRPr="000543FD" w:rsidRDefault="000543FD" w:rsidP="000543FD">
      <w:pPr>
        <w:spacing w:before="80" w:after="80" w:line="360" w:lineRule="auto"/>
        <w:ind w:right="851"/>
        <w:jc w:val="both"/>
        <w:rPr>
          <w:rFonts w:ascii="David" w:eastAsia="Times New Roman" w:hAnsi="David" w:cs="David"/>
          <w:sz w:val="24"/>
          <w:szCs w:val="24"/>
          <w:rtl/>
        </w:rPr>
      </w:pPr>
      <w:r w:rsidRPr="000543FD">
        <w:rPr>
          <w:rFonts w:ascii="David" w:eastAsia="Times New Roman" w:hAnsi="David" w:cs="David"/>
          <w:sz w:val="24"/>
          <w:szCs w:val="24"/>
          <w:rtl/>
        </w:rPr>
        <w:t>52.</w:t>
      </w:r>
      <w:r w:rsidRPr="000543FD">
        <w:rPr>
          <w:rFonts w:ascii="David" w:eastAsia="Times New Roman" w:hAnsi="David" w:cs="David"/>
          <w:sz w:val="24"/>
          <w:szCs w:val="24"/>
          <w:rtl/>
        </w:rPr>
        <w:tab/>
        <w:t xml:space="preserve">באשר לעבירה על חוק המאבק בטרור; </w:t>
      </w:r>
    </w:p>
    <w:p w:rsidR="000543FD" w:rsidRPr="000543FD" w:rsidRDefault="000543FD" w:rsidP="000543FD">
      <w:pPr>
        <w:spacing w:before="80" w:after="80" w:line="360" w:lineRule="auto"/>
        <w:jc w:val="both"/>
        <w:rPr>
          <w:rFonts w:ascii="David" w:eastAsia="Times New Roman" w:hAnsi="David" w:cs="David"/>
          <w:b/>
          <w:bCs/>
          <w:sz w:val="24"/>
          <w:szCs w:val="24"/>
          <w:rtl/>
        </w:rPr>
      </w:pPr>
      <w:r w:rsidRPr="000543FD">
        <w:rPr>
          <w:rFonts w:ascii="David" w:eastAsia="Times New Roman" w:hAnsi="David" w:cs="David"/>
          <w:sz w:val="24"/>
          <w:szCs w:val="24"/>
          <w:rtl/>
        </w:rPr>
        <w:tab/>
        <w:t>בכתב האישום נכללת עבירה לפי סעיף 37 לחוק המאבק בטרור. סעיף 37 הוא הקובע את האיסור הפלילי והעבירה שבמעשה הטרור. אולם ההגדרה מה ייחשב כמעשה טרור מופיעה בסעיף 2 לחוק זה, וקובעת כך:</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"'מעשה טרור' – מעשה המהווה עבירה או איום בעשיית מעשה כאמור, שמתקיימים לגביהם כל אלה:</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(1) הם נעשו מתוך מניע מדיני, דתי, לאומני או אידאולוגי;</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(2) הם נעשו במטרה לעורר פחד או בהלה בציבור או במטרה לאלץ ממשלה או רשות שלטונית אחרת, לרבות ממשלה או רשות שלטונית אחרת של מדינה זרה, או ארגון ציבורי בין-לאומי, לעשות מעשה או להימנע מעשיית מעשה;</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(3) במעשה שנעשה או במעשה שאיימו בעשייתו, היה אחד מאלה, או סיכון ממשי לאחד מאלה:</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 xml:space="preserve">      (א)פגיעה חמורה בגופו של אדם או בחירותו;</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 xml:space="preserve">      (ב)פגיעה חמורה בבטיחות הציבור או בבריאותו;</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 xml:space="preserve">      (ג)פגיעה חמורה ברכוש, שבנסיבות שבהן בוצעה יש אפשרות ממשית שתגרום לפגיעה חמורה כאמור בפסקאות משנה (א) או (ב) ושנעשתה במטרה לגרום לפגיעה כאמור;</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lastRenderedPageBreak/>
        <w:t xml:space="preserve">      (ד)פגיעה חמורה בקודשי דת; לעניין זה, "קודשי דת" – מקום פולחן או קבורה ותשמישי קדושה;</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 xml:space="preserve">      (ה)פגיעה חמורה בתשתיות, במערכות או בשירותים חיוניים, או שיבוש חמור שלהם, או פגיעה חמורה בכלכלת המדינה או בסביבה;</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לעניין הגדרה זו –</w:t>
      </w:r>
    </w:p>
    <w:p w:rsidR="000543FD" w:rsidRPr="000543FD" w:rsidRDefault="000543FD" w:rsidP="000543FD">
      <w:pPr>
        <w:spacing w:before="80" w:after="80" w:line="360" w:lineRule="auto"/>
        <w:ind w:left="709" w:right="851"/>
        <w:jc w:val="both"/>
        <w:rPr>
          <w:rFonts w:ascii="David" w:eastAsia="Times New Roman" w:hAnsi="David" w:cs="David"/>
          <w:b/>
          <w:bCs/>
          <w:sz w:val="24"/>
          <w:szCs w:val="24"/>
          <w:rtl/>
        </w:rPr>
      </w:pPr>
      <w:r w:rsidRPr="000543FD">
        <w:rPr>
          <w:rFonts w:ascii="David" w:eastAsia="Times New Roman" w:hAnsi="David" w:cs="David"/>
          <w:b/>
          <w:bCs/>
          <w:sz w:val="24"/>
          <w:szCs w:val="24"/>
          <w:rtl/>
        </w:rPr>
        <w:t xml:space="preserve">(א)נעשה המעשה או האיום כאמור בפסקה (3)(א) תוך שימוש בנשק או בסכין, יראו אותו כמעשה טרור גם אם לא התקיים בו האמור בפסקה (2); ...."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53.</w:t>
      </w:r>
      <w:r w:rsidRPr="000543FD">
        <w:rPr>
          <w:rFonts w:ascii="David" w:eastAsia="Times New Roman" w:hAnsi="David" w:cs="David"/>
          <w:sz w:val="24"/>
          <w:szCs w:val="24"/>
          <w:rtl/>
        </w:rPr>
        <w:tab/>
        <w:t xml:space="preserve">בענייננו, הנאשמת הכחישה כי בחרה לפגוע במתלוננת בשל היותה יהודיה, אולם בד בבד לא הצביעה על מניע אחר כלשהו למעשיה.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ab/>
        <w:t xml:space="preserve">גם בנושא זה ניתן להיעזר בחזקות המוכרות ובהגיון בסיסי. מעיון בסרטונים המתעדים את האירוע (ת/6, ת/7) ניתן לראות בבירור כי הנאשמת צעדה בעקבות המתלוננת וילדיה פרק זמן לא מבוטל, כשהיא מתקרבת אליהם ומתרחקת מהם חליפות. טענת הנאשמת כי לא היתה מודעת להיותה של המתלוננת יהודיה אינה יכולה להתקבל, שכן מראם של הנאשמת ושל ילדיה היה מראה אופייני ומובהק של יהודים דתיים, כולל כיסוי ראש של המתלוננת וכיפות לראשי ילדיה. הנאשמת אף העידה כי לא הכירה את המתלוננת אישית אך ידעה כי היא מתגוררת בשכנות אליה (פרוטוקול עמ' 18 ש' 16; עמ' 49), וגם עובדה זו תומכת במסקנה שידעה כי מדובר ביהודיה.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54.</w:t>
      </w:r>
      <w:r w:rsidRPr="000543FD">
        <w:rPr>
          <w:rFonts w:ascii="David" w:eastAsia="Times New Roman" w:hAnsi="David" w:cs="David"/>
          <w:sz w:val="24"/>
          <w:szCs w:val="24"/>
          <w:rtl/>
        </w:rPr>
        <w:tab/>
        <w:t xml:space="preserve">מאחר שהנאשמת פגעה באישה יהודיה ללא כל סיבה אחרת, מתבקשת המסקנה שפעלה מתוך מניע מדיני, דתי, לאומני או אידאולוגי. המעשה גרם לסיכון ממשי לפגיעה חמורה בגופה של המתלוננת. המעשה נעשה תוך שימוש בסכין. בנסיבות אלו מתקיימים היסודות הנדרשים לעבירה לפי חוק הטרור. </w:t>
      </w: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 xml:space="preserve">העבירה של שיבוש מהלכי משפט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55.</w:t>
      </w:r>
      <w:r w:rsidRPr="000543FD">
        <w:rPr>
          <w:rFonts w:ascii="David" w:eastAsia="Times New Roman" w:hAnsi="David" w:cs="David"/>
          <w:sz w:val="24"/>
          <w:szCs w:val="24"/>
          <w:rtl/>
        </w:rPr>
        <w:tab/>
        <w:t xml:space="preserve">בתשובתם לכתב האישום הודו ב"כ הנאשמת בעובדות המתארות את העבירה של שיבוש מהלכי משפט. בחקירתה של הנאשמת חזרה באת כוחה על הדברים במהלך חקירתה של הנאשמת, בעמ' 20 לפרוטוקול. גם הנאשמת עצמה העידה כי הורידה את המעיל בבית הספר, </w:t>
      </w:r>
      <w:r w:rsidRPr="000543FD">
        <w:rPr>
          <w:rFonts w:ascii="David" w:eastAsia="Times New Roman" w:hAnsi="David" w:cs="David"/>
          <w:b/>
          <w:bCs/>
          <w:sz w:val="24"/>
          <w:szCs w:val="24"/>
          <w:rtl/>
        </w:rPr>
        <w:t>"בגלל שאמרו לי שהמשטרה מחפשת את מי שעשה את המעשה"</w:t>
      </w:r>
      <w:r w:rsidRPr="000543FD">
        <w:rPr>
          <w:rFonts w:ascii="David" w:eastAsia="Times New Roman" w:hAnsi="David" w:cs="David"/>
          <w:sz w:val="24"/>
          <w:szCs w:val="24"/>
          <w:rtl/>
        </w:rPr>
        <w:t xml:space="preserve"> (עמ' 20 ש' 8). לפיכך ניתן להרשיע את הנאשמת גם בעבירה זו. </w:t>
      </w: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טענת אכיפה בררנית</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 xml:space="preserve"> 56.</w:t>
      </w:r>
      <w:r w:rsidRPr="000543FD">
        <w:rPr>
          <w:rFonts w:ascii="David" w:eastAsia="Times New Roman" w:hAnsi="David" w:cs="David"/>
          <w:sz w:val="24"/>
          <w:szCs w:val="24"/>
          <w:rtl/>
        </w:rPr>
        <w:tab/>
        <w:t xml:space="preserve">הסמכות לקבוע באילו עבירות מואשם נאשם נתונה לתביעה הכללית. אמנם מדובר בהחלטה הנתונה לביקורת שיפוטית, אולם נפסק כי ביקורת כזו תיעשה במשורה, "לבל יהפוך בית המשפט </w:t>
      </w:r>
      <w:r w:rsidRPr="000543FD">
        <w:rPr>
          <w:rFonts w:ascii="David" w:eastAsia="Times New Roman" w:hAnsi="David" w:cs="David"/>
          <w:sz w:val="24"/>
          <w:szCs w:val="24"/>
          <w:rtl/>
        </w:rPr>
        <w:lastRenderedPageBreak/>
        <w:t>למעין 'תובע על'" (</w:t>
      </w:r>
      <w:hyperlink r:id="rId13" w:history="1">
        <w:r w:rsidRPr="000543FD">
          <w:rPr>
            <w:rFonts w:ascii="David" w:eastAsia="Times New Roman" w:hAnsi="David" w:cs="David"/>
            <w:sz w:val="24"/>
            <w:szCs w:val="24"/>
            <w:rtl/>
          </w:rPr>
          <w:t xml:space="preserve">בג"ץ 218/85 </w:t>
        </w:r>
        <w:r w:rsidRPr="00D3503D">
          <w:rPr>
            <w:rFonts w:ascii="David" w:eastAsia="Times New Roman" w:hAnsi="David" w:cs="David"/>
            <w:b/>
            <w:bCs/>
            <w:sz w:val="24"/>
            <w:szCs w:val="24"/>
            <w:rtl/>
          </w:rPr>
          <w:t>ארביב נ' פרקליטות מחוז תל-אביב,</w:t>
        </w:r>
        <w:r w:rsidRPr="000543FD">
          <w:rPr>
            <w:rFonts w:ascii="David" w:eastAsia="Times New Roman" w:hAnsi="David" w:cs="David"/>
            <w:sz w:val="24"/>
            <w:szCs w:val="24"/>
            <w:rtl/>
          </w:rPr>
          <w:t xml:space="preserve"> פ"ד מ</w:t>
        </w:r>
      </w:hyperlink>
      <w:r w:rsidRPr="000543FD">
        <w:rPr>
          <w:rFonts w:ascii="David" w:eastAsia="Times New Roman" w:hAnsi="David" w:cs="David"/>
          <w:sz w:val="24"/>
          <w:szCs w:val="24"/>
          <w:rtl/>
        </w:rPr>
        <w:t>(2) 393, 402 (1986).</w:t>
      </w:r>
      <w:r w:rsidRPr="000543FD">
        <w:rPr>
          <w:rFonts w:ascii="David" w:eastAsia="Times New Roman" w:hAnsi="David" w:cs="David"/>
          <w:rtl/>
        </w:rPr>
        <w:t xml:space="preserve"> </w:t>
      </w:r>
      <w:r w:rsidRPr="000543FD">
        <w:rPr>
          <w:rFonts w:ascii="David" w:eastAsia="Times New Roman" w:hAnsi="David" w:cs="David"/>
          <w:sz w:val="24"/>
          <w:szCs w:val="24"/>
          <w:rtl/>
        </w:rPr>
        <w:t xml:space="preserve">וראו גם: רע"פ 7052/18 </w:t>
      </w:r>
      <w:r w:rsidRPr="000543FD">
        <w:rPr>
          <w:rFonts w:ascii="David" w:eastAsia="Times New Roman" w:hAnsi="David" w:cs="David"/>
          <w:b/>
          <w:bCs/>
          <w:sz w:val="24"/>
          <w:szCs w:val="24"/>
          <w:rtl/>
        </w:rPr>
        <w:t>מדינת ישראל נ' רפי רותם</w:t>
      </w:r>
      <w:r w:rsidRPr="000543FD">
        <w:rPr>
          <w:rFonts w:ascii="David" w:eastAsia="Times New Roman" w:hAnsi="David" w:cs="David"/>
          <w:sz w:val="24"/>
          <w:szCs w:val="24"/>
          <w:rtl/>
        </w:rPr>
        <w:t xml:space="preserve"> (5.5.20) - פסקה 37 לחוות דעתו של כב' השופט נ' סולברג, פסקה 5 לחוות דעתו של כב' השופט י' אלרון, ובהמשך לכך דנ"פ 5387/20 </w:t>
      </w:r>
      <w:r w:rsidRPr="000543FD">
        <w:rPr>
          <w:rFonts w:ascii="David" w:eastAsia="Times New Roman" w:hAnsi="David" w:cs="David"/>
          <w:b/>
          <w:bCs/>
          <w:sz w:val="24"/>
          <w:szCs w:val="24"/>
          <w:rtl/>
        </w:rPr>
        <w:t xml:space="preserve">רפי רותם נ' מדינת ישראל </w:t>
      </w:r>
      <w:r w:rsidRPr="000543FD">
        <w:rPr>
          <w:rFonts w:ascii="David" w:eastAsia="Times New Roman" w:hAnsi="David" w:cs="David"/>
          <w:sz w:val="24"/>
          <w:szCs w:val="24"/>
          <w:rtl/>
        </w:rPr>
        <w:t xml:space="preserve">(15.12. 21).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57.</w:t>
      </w:r>
      <w:r w:rsidRPr="000543FD">
        <w:rPr>
          <w:rFonts w:ascii="David" w:eastAsia="Times New Roman" w:hAnsi="David" w:cs="David"/>
          <w:sz w:val="24"/>
          <w:szCs w:val="24"/>
          <w:rtl/>
        </w:rPr>
        <w:tab/>
        <w:t xml:space="preserve">עוד נפסק כי  </w:t>
      </w:r>
    </w:p>
    <w:p w:rsidR="000543FD" w:rsidRPr="000543FD" w:rsidRDefault="000543FD" w:rsidP="000543FD">
      <w:pPr>
        <w:spacing w:before="80" w:after="80" w:line="360" w:lineRule="auto"/>
        <w:ind w:left="708" w:right="709"/>
        <w:jc w:val="both"/>
        <w:rPr>
          <w:rFonts w:ascii="David" w:eastAsia="Times New Roman" w:hAnsi="David" w:cs="David"/>
          <w:b/>
          <w:bCs/>
          <w:sz w:val="24"/>
          <w:szCs w:val="24"/>
          <w:rtl/>
        </w:rPr>
      </w:pPr>
      <w:r w:rsidRPr="000543FD">
        <w:rPr>
          <w:rFonts w:ascii="David" w:eastAsia="Times New Roman" w:hAnsi="David" w:cs="David"/>
          <w:b/>
          <w:bCs/>
          <w:sz w:val="24"/>
          <w:szCs w:val="24"/>
          <w:rtl/>
        </w:rPr>
        <w:t>"לשם העלאת טענה בדבר "הגנה מן הצדק", הנשענת על טענה לאכיפה בררנית, יהיה על הטוען להראות, בראש ובראשונה כי מדובר בהבחנה בין מי שהדמיון ביניהם רלוונטי לעניין, במובן זה שהוא מצדיק התייחסות דומה בשאלת הגשתו של כתב אישום. בשלב השני יהא על הטוען להראות כי בבסיס ההבחנה ניצב מניע פסול, בין אם בדמות שרירותיות, התחשבות בשיקולים שאינם מן העניין, או חלילה שקילת שיקולים שאינם ראויים. מטבע הדברים מדובר בשני שלבים השלובים זה בזה, ואשר רב המשותף להם. הנטל להוכיחם, שאיננו פשוט כלל וכלל, מוטל על הנאשם, באשר הפרקליטות, ככל רשות מינהלית, נהנית מהחזקה לפיה פעולותיה נעשות כדין"</w:t>
      </w:r>
    </w:p>
    <w:p w:rsidR="000543FD" w:rsidRPr="000543FD" w:rsidRDefault="000543FD" w:rsidP="00D3503D">
      <w:pPr>
        <w:spacing w:before="80" w:after="80" w:line="360" w:lineRule="auto"/>
        <w:ind w:firstLine="708"/>
        <w:jc w:val="both"/>
        <w:rPr>
          <w:rFonts w:ascii="David" w:eastAsia="Times New Roman" w:hAnsi="David" w:cs="David"/>
          <w:sz w:val="24"/>
          <w:szCs w:val="24"/>
          <w:rtl/>
        </w:rPr>
      </w:pPr>
      <w:r w:rsidRPr="000543FD">
        <w:rPr>
          <w:rFonts w:ascii="David" w:eastAsia="Times New Roman" w:hAnsi="David" w:cs="David"/>
          <w:sz w:val="24"/>
          <w:szCs w:val="24"/>
          <w:rtl/>
        </w:rPr>
        <w:t xml:space="preserve">(ע"פ 3215/07 </w:t>
      </w:r>
      <w:r w:rsidRPr="000543FD">
        <w:rPr>
          <w:rFonts w:ascii="David" w:eastAsia="Times New Roman" w:hAnsi="David" w:cs="David"/>
          <w:b/>
          <w:bCs/>
          <w:sz w:val="24"/>
          <w:szCs w:val="24"/>
          <w:rtl/>
        </w:rPr>
        <w:t>פלוני נ' מדינת ישראל</w:t>
      </w:r>
      <w:r w:rsidRPr="000543FD">
        <w:rPr>
          <w:rFonts w:ascii="David" w:eastAsia="Times New Roman" w:hAnsi="David" w:cs="David"/>
          <w:sz w:val="24"/>
          <w:szCs w:val="24"/>
          <w:rtl/>
        </w:rPr>
        <w:t xml:space="preserve"> (</w:t>
      </w:r>
      <w:r w:rsidR="00D3503D">
        <w:rPr>
          <w:rFonts w:ascii="David" w:eastAsia="Times New Roman" w:hAnsi="David" w:cs="David" w:hint="cs"/>
          <w:sz w:val="24"/>
          <w:szCs w:val="24"/>
          <w:rtl/>
        </w:rPr>
        <w:t>4.8</w:t>
      </w:r>
      <w:r w:rsidRPr="000543FD">
        <w:rPr>
          <w:rFonts w:ascii="David" w:eastAsia="Times New Roman" w:hAnsi="David" w:cs="David"/>
          <w:sz w:val="24"/>
          <w:szCs w:val="24"/>
          <w:rtl/>
        </w:rPr>
        <w:t xml:space="preserve">.2008), פסקה 37. וראו גם ע"פ 37/07 </w:t>
      </w:r>
      <w:r w:rsidRPr="000543FD">
        <w:rPr>
          <w:rFonts w:ascii="David" w:eastAsia="Times New Roman" w:hAnsi="David" w:cs="David"/>
          <w:b/>
          <w:bCs/>
          <w:sz w:val="24"/>
          <w:szCs w:val="24"/>
          <w:rtl/>
        </w:rPr>
        <w:t xml:space="preserve">משה פרג נ' מדינת ישראל </w:t>
      </w:r>
      <w:r w:rsidRPr="000543FD">
        <w:rPr>
          <w:rFonts w:ascii="David" w:eastAsia="Times New Roman" w:hAnsi="David" w:cs="David"/>
          <w:sz w:val="24"/>
          <w:szCs w:val="24"/>
          <w:rtl/>
        </w:rPr>
        <w:t xml:space="preserve">(10.03.08) פסקה 6 לחוות דעתה של כב' השופטת (כתוארה אז) א' חיות; בג"ץ 6396/96 </w:t>
      </w:r>
      <w:r w:rsidRPr="000543FD">
        <w:rPr>
          <w:rFonts w:ascii="David" w:eastAsia="Times New Roman" w:hAnsi="David" w:cs="David"/>
          <w:b/>
          <w:bCs/>
          <w:sz w:val="24"/>
          <w:szCs w:val="24"/>
          <w:rtl/>
        </w:rPr>
        <w:t>סימונה זקין נ' ראש-עיריית באר-שבע</w:t>
      </w:r>
      <w:r w:rsidRPr="000543FD">
        <w:rPr>
          <w:rFonts w:ascii="David" w:eastAsia="Times New Roman" w:hAnsi="David" w:cs="David"/>
          <w:sz w:val="24"/>
          <w:szCs w:val="24"/>
          <w:rtl/>
        </w:rPr>
        <w:t xml:space="preserve">, פ"ד נג(3) 289 (1999)).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58.</w:t>
      </w:r>
      <w:r w:rsidRPr="000543FD">
        <w:rPr>
          <w:rFonts w:ascii="David" w:eastAsia="Times New Roman" w:hAnsi="David" w:cs="David"/>
          <w:sz w:val="24"/>
          <w:szCs w:val="24"/>
          <w:rtl/>
        </w:rPr>
        <w:tab/>
        <w:t>לצורך הוכחת אותה הבחנה בין דומים, ולשם ביסוס טענה של אכיפה בררנית, נאשם בהליך פלילי רשאי לדרוש לעיין בנתונים רלוונטיים. זאת ניתן לעשות בהגשת בקשה לפי סעיף 108 לחוק סדר הדין הפלילי [נוסח משולב] תשמ"ב-1982, ואפשר שאף בדרך של עתירה מנהלית מכח חוק חופש המידע תשנ"ח-1998. (בג"ץ 4922/19 </w:t>
      </w:r>
      <w:r w:rsidRPr="000543FD">
        <w:rPr>
          <w:rFonts w:ascii="David" w:eastAsia="Times New Roman" w:hAnsi="David" w:cs="David"/>
          <w:b/>
          <w:bCs/>
          <w:sz w:val="24"/>
          <w:szCs w:val="24"/>
          <w:rtl/>
        </w:rPr>
        <w:t>אפרים נוה</w:t>
      </w:r>
      <w:r w:rsidRPr="000543FD">
        <w:rPr>
          <w:rFonts w:ascii="David" w:eastAsia="Times New Roman" w:hAnsi="David" w:cs="David"/>
          <w:sz w:val="24"/>
          <w:szCs w:val="24"/>
          <w:rtl/>
        </w:rPr>
        <w:t> </w:t>
      </w:r>
      <w:r w:rsidRPr="000543FD">
        <w:rPr>
          <w:rFonts w:ascii="David" w:eastAsia="Times New Roman" w:hAnsi="David" w:cs="David"/>
          <w:b/>
          <w:bCs/>
          <w:sz w:val="24"/>
          <w:szCs w:val="24"/>
          <w:rtl/>
        </w:rPr>
        <w:t>נ' מדינת ישראל - פרקליטות מחוז מרכז (פלילי)</w:t>
      </w:r>
      <w:r w:rsidRPr="000543FD">
        <w:rPr>
          <w:rFonts w:ascii="David" w:eastAsia="Times New Roman" w:hAnsi="David" w:cs="David"/>
          <w:sz w:val="24"/>
          <w:szCs w:val="24"/>
          <w:rtl/>
        </w:rPr>
        <w:t xml:space="preserve"> (9.12.19))</w:t>
      </w:r>
      <w:r w:rsidR="00D3503D">
        <w:rPr>
          <w:rFonts w:ascii="David" w:eastAsia="Times New Roman" w:hAnsi="David" w:cs="David" w:hint="cs"/>
          <w:sz w:val="24"/>
          <w:szCs w:val="24"/>
          <w:rtl/>
        </w:rPr>
        <w:t>.</w:t>
      </w:r>
    </w:p>
    <w:p w:rsidR="000543FD" w:rsidRPr="000543FD" w:rsidRDefault="000543FD" w:rsidP="00D3503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59.</w:t>
      </w:r>
      <w:r w:rsidRPr="000543FD">
        <w:rPr>
          <w:rFonts w:ascii="David" w:eastAsia="Times New Roman" w:hAnsi="David" w:cs="David"/>
          <w:sz w:val="24"/>
          <w:szCs w:val="24"/>
          <w:rtl/>
        </w:rPr>
        <w:tab/>
        <w:t xml:space="preserve">בענייננו, בסיכומים בכתב </w:t>
      </w:r>
      <w:r w:rsidR="00D3503D">
        <w:rPr>
          <w:rFonts w:ascii="David" w:eastAsia="Times New Roman" w:hAnsi="David" w:cs="David" w:hint="cs"/>
          <w:sz w:val="24"/>
          <w:szCs w:val="24"/>
          <w:rtl/>
        </w:rPr>
        <w:t>ב</w:t>
      </w:r>
      <w:r w:rsidRPr="000543FD">
        <w:rPr>
          <w:rFonts w:ascii="David" w:eastAsia="Times New Roman" w:hAnsi="David" w:cs="David"/>
          <w:sz w:val="24"/>
          <w:szCs w:val="24"/>
          <w:rtl/>
        </w:rPr>
        <w:t xml:space="preserve">נושא זה הפנו הסניגורים לכ-20 מקרים שבהם הוגשו כתבי אישום בעבירות חמורות פחות. אולם כעולה מהסיכומים, אותם מקרים לא התקבלו ממאגר נתונים רשמי כלשהו, על פי סדר ענייני, אלא לוקטו על ידי הסניגוריה ממאגרי הפסיקה המוכרים, וככל הנראה גם מ"ידע אישי" והיכרות עם התיקים. לפיכך מצויין בסיכומים לא פעם כי אין בידי הסניגורים פרטים מלאים בנוגע לחלק מאותם מקרים. המקרים המאוזכרים מתייחסים למחוזות שונים בארץ ולתקופה ארוכה של כ-15 שנה, החל מע"פ 5258/09 הדן באירוע משנת 2008, ועד ימים אלה. </w:t>
      </w:r>
    </w:p>
    <w:p w:rsidR="000543FD" w:rsidRPr="000543FD" w:rsidRDefault="000543FD" w:rsidP="000543FD">
      <w:pPr>
        <w:spacing w:before="80" w:after="80" w:line="360" w:lineRule="auto"/>
        <w:jc w:val="both"/>
        <w:rPr>
          <w:rFonts w:ascii="David" w:eastAsia="Times New Roman" w:hAnsi="David" w:cs="David"/>
          <w:sz w:val="24"/>
          <w:szCs w:val="24"/>
        </w:rPr>
      </w:pPr>
      <w:r w:rsidRPr="000543FD">
        <w:rPr>
          <w:rFonts w:ascii="David" w:eastAsia="Times New Roman" w:hAnsi="David" w:cs="David"/>
          <w:sz w:val="24"/>
          <w:szCs w:val="24"/>
          <w:rtl/>
        </w:rPr>
        <w:t>60.</w:t>
      </w:r>
      <w:r w:rsidRPr="000543FD">
        <w:rPr>
          <w:rFonts w:ascii="David" w:eastAsia="Times New Roman" w:hAnsi="David" w:cs="David"/>
          <w:sz w:val="24"/>
          <w:szCs w:val="24"/>
          <w:rtl/>
        </w:rPr>
        <w:tab/>
        <w:t xml:space="preserve">למעשה, די באמור עד כה כדי להביא לדחיית הטענה. שכן אין צורך בראיות כדי להגיע למסקנה כי במהלך אותן 15 שנה הוגשו לבתי המשפט ברחבי הארץ מאות ואולי אלפי כתבי אישום בעבירות אלימות חמורות, חלק ניכר מהן תוך שימוש בנשק קר. על מנת להצביע על מדיניות ברורה של רשויות התביעה, יש להראות מדגם מייצג של מקרים, ועל דמיון בשורה של עובדות רלוונטיות, </w:t>
      </w:r>
      <w:r w:rsidRPr="000543FD">
        <w:rPr>
          <w:rFonts w:ascii="David" w:eastAsia="Times New Roman" w:hAnsi="David" w:cs="David"/>
          <w:sz w:val="24"/>
          <w:szCs w:val="24"/>
          <w:rtl/>
        </w:rPr>
        <w:lastRenderedPageBreak/>
        <w:t>ביניהן חומרת הפגיעות, גילאי הנאשמים והנפגעים, עברם הפלילי של הנאשמים, האם מדובר בביצוע עיקרי או אחריות מכח ביצוע בצוותא, האם נעשה שימוש בנשק קר ובאיזה סוג של נשק, ועוד ועוד. במקרה שבפנינו מדובר, כאמור, בליקוט אקראי של מקרים, זעיר פה זעיר שם. בהעדר שיטתיות ומתודולוגיה כלשהי, לא ניתן להסיק מסקנות מאותם מקרים ספורדיים, ודי בכך כדי לדחות את הטענה.</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הדברים אמורים ביתר שאת כאשר מדובר בקטינים, שההליכים בעניינם אינם מתפרסמים בדרך כלל, וודאי שאין במקרים בודדים המגיעים למאגרי הנתונים כדי לצייר תמונה מלאה.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61.</w:t>
      </w:r>
      <w:r w:rsidRPr="000543FD">
        <w:rPr>
          <w:rFonts w:ascii="David" w:eastAsia="Times New Roman" w:hAnsi="David" w:cs="David"/>
          <w:sz w:val="24"/>
          <w:szCs w:val="24"/>
          <w:rtl/>
        </w:rPr>
        <w:tab/>
        <w:t>למעלה מן הצורך נבהיר כי גם עיון באותם מקרים אליהם מפנים הסניגורים מביא למסקנה דומה. נציין מספר דוגמאות</w:t>
      </w:r>
      <w:r w:rsidRPr="000543FD">
        <w:rPr>
          <w:rFonts w:ascii="David" w:eastAsia="Times New Roman" w:hAnsi="David" w:cs="David"/>
          <w:sz w:val="24"/>
          <w:szCs w:val="24"/>
        </w:rPr>
        <w:t xml:space="preserve"> :</w:t>
      </w:r>
    </w:p>
    <w:p w:rsidR="000543FD" w:rsidRPr="000543FD" w:rsidRDefault="000543FD" w:rsidP="00D3503D">
      <w:pPr>
        <w:spacing w:before="80" w:after="80" w:line="360" w:lineRule="auto"/>
        <w:ind w:firstLine="720"/>
        <w:jc w:val="both"/>
        <w:rPr>
          <w:rFonts w:ascii="David" w:eastAsia="Times New Roman" w:hAnsi="David" w:cs="David"/>
          <w:sz w:val="24"/>
          <w:szCs w:val="24"/>
        </w:rPr>
      </w:pPr>
      <w:r w:rsidRPr="000543FD">
        <w:rPr>
          <w:rFonts w:ascii="David" w:eastAsia="Times New Roman" w:hAnsi="David" w:cs="David"/>
          <w:sz w:val="24"/>
          <w:szCs w:val="24"/>
          <w:rtl/>
        </w:rPr>
        <w:t xml:space="preserve">המקרה הראשון אליו מפנים הסניגורים הוא ת"פ 12341-11-22 בבית משפט זה, </w:t>
      </w:r>
      <w:r w:rsidRPr="000543FD">
        <w:rPr>
          <w:rFonts w:ascii="David" w:eastAsia="Times New Roman" w:hAnsi="David" w:cs="David"/>
          <w:b/>
          <w:bCs/>
          <w:sz w:val="24"/>
          <w:szCs w:val="24"/>
          <w:rtl/>
        </w:rPr>
        <w:t>מדינת ישראל נ' אמרי הופמן</w:t>
      </w:r>
      <w:r w:rsidRPr="000543FD">
        <w:rPr>
          <w:rFonts w:ascii="David" w:eastAsia="Times New Roman" w:hAnsi="David" w:cs="David"/>
          <w:sz w:val="24"/>
          <w:szCs w:val="24"/>
          <w:rtl/>
        </w:rPr>
        <w:t xml:space="preserve">. הדיון בתיק זה מצוי בראשיתו, וטרם ניתן פסק דין. על פי כתב האישום מדובר באירוע של עימות אלים בין שתי חבורות צעירים, שכלל יידוי אבנים ומכות הדדיות, ואף נפגעים משני הצדדים. זאת בשונה מהתיק שבפנינו, בו פגעה הנאשמת במתלוננת שהלכה לתומה ברחוב ולא פגעה באיש. </w:t>
      </w:r>
      <w:r w:rsidRPr="000543FD">
        <w:rPr>
          <w:rFonts w:ascii="David" w:eastAsia="Times New Roman" w:hAnsi="David" w:cs="David"/>
          <w:sz w:val="24"/>
          <w:szCs w:val="24"/>
          <w:rtl/>
        </w:rPr>
        <w:tab/>
        <w:t xml:space="preserve">בע"פ 5258/09 </w:t>
      </w:r>
      <w:r w:rsidRPr="000543FD">
        <w:rPr>
          <w:rFonts w:ascii="David" w:eastAsia="Times New Roman" w:hAnsi="David" w:cs="David"/>
          <w:b/>
          <w:bCs/>
          <w:sz w:val="24"/>
          <w:szCs w:val="24"/>
          <w:rtl/>
        </w:rPr>
        <w:t>יעקב בן חיים נ' מדינת ישראל</w:t>
      </w:r>
      <w:r w:rsidRPr="000543FD">
        <w:rPr>
          <w:rFonts w:ascii="David" w:eastAsia="Times New Roman" w:hAnsi="David" w:cs="David"/>
          <w:sz w:val="24"/>
          <w:szCs w:val="24"/>
          <w:rtl/>
        </w:rPr>
        <w:t xml:space="preserve"> (</w:t>
      </w:r>
      <w:r w:rsidR="00D3503D">
        <w:rPr>
          <w:rFonts w:ascii="David" w:eastAsia="Times New Roman" w:hAnsi="David" w:cs="David" w:hint="cs"/>
          <w:sz w:val="24"/>
          <w:szCs w:val="24"/>
          <w:rtl/>
        </w:rPr>
        <w:t>1.10.09</w:t>
      </w:r>
      <w:r w:rsidRPr="000543FD">
        <w:rPr>
          <w:rFonts w:ascii="David" w:eastAsia="Times New Roman" w:hAnsi="David" w:cs="David"/>
          <w:sz w:val="24"/>
          <w:szCs w:val="24"/>
          <w:rtl/>
        </w:rPr>
        <w:t xml:space="preserve">) טוענים אף הסניגורים בסיכומיהם שלהם כי המערער הספציפי לא החזיק כלי בידו ונקלע למקום במקרה; בעניין המכונה בסיכומים "לינץ' נווה יעקב" נכתב בסיכומים כי אין בידי הסניגורים הכרעת הדין וגזרי הדין שניתנו בהליך זה. הסניגורים לא טרחו להציג תשתית עובדתית בסיסית, ואין מקום לדון בעניין על יסוד קטעי עובדות; בת"פ (ת"א) 38347-04-15 </w:t>
      </w:r>
      <w:r w:rsidRPr="000543FD">
        <w:rPr>
          <w:rFonts w:ascii="David" w:eastAsia="Times New Roman" w:hAnsi="David" w:cs="David"/>
          <w:b/>
          <w:bCs/>
          <w:sz w:val="24"/>
          <w:szCs w:val="24"/>
          <w:rtl/>
        </w:rPr>
        <w:t xml:space="preserve">מדינת ישראל נ' עוז סגל </w:t>
      </w:r>
      <w:r w:rsidRPr="000543FD">
        <w:rPr>
          <w:rFonts w:ascii="David" w:eastAsia="Times New Roman" w:hAnsi="David" w:cs="David"/>
          <w:sz w:val="24"/>
          <w:szCs w:val="24"/>
          <w:rtl/>
        </w:rPr>
        <w:t xml:space="preserve">(24.12.05) התעורר ספק באשר לשפיות נפשו וכשירותו המהותית של הנאשם לעמוד לדין.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6</w:t>
      </w:r>
      <w:r w:rsidRPr="000543FD">
        <w:rPr>
          <w:rFonts w:ascii="David" w:eastAsia="Times New Roman" w:hAnsi="David" w:cs="David" w:hint="cs"/>
          <w:sz w:val="24"/>
          <w:szCs w:val="24"/>
          <w:rtl/>
        </w:rPr>
        <w:t>2</w:t>
      </w:r>
      <w:r w:rsidRPr="000543FD">
        <w:rPr>
          <w:rFonts w:ascii="David" w:eastAsia="Times New Roman" w:hAnsi="David" w:cs="David"/>
          <w:sz w:val="24"/>
          <w:szCs w:val="24"/>
          <w:rtl/>
        </w:rPr>
        <w:t>.</w:t>
      </w:r>
      <w:r w:rsidRPr="000543FD">
        <w:rPr>
          <w:rFonts w:ascii="David" w:eastAsia="Times New Roman" w:hAnsi="David" w:cs="David"/>
          <w:sz w:val="24"/>
          <w:szCs w:val="24"/>
          <w:rtl/>
        </w:rPr>
        <w:tab/>
        <w:t xml:space="preserve">ב"כ הנאשמת הפנו בסיכומיהם לכתבי אישום שהוגשו במספר אירועי "לינץ". מבלי להקל ראש בחומרתם של אירועים אלה, קיים קושי ראייתי לייחס לכלל המשתתפים באירועים המוניים עבירה של רצח בכוונה תחילה המחייבת יסוד נפשי מיוחד. חלק נוסף מהאירועים כוללים קינטור ומעורבות דו צדדית באירוע, כך שאף הם אינם מתיישבים עם יסודות עבירת הרצח. בחלק מהמקרים קרבנות העבירה לא היו ערבים או שהנאשם לא היה יהודי, כך שאין בהם כדי להוכיח את טענת האכיפה הבררנית המתייחסת באופן ספציפי לתקיפת ערבים על ידי יהודים. </w:t>
      </w:r>
    </w:p>
    <w:p w:rsidR="000543FD" w:rsidRPr="000543FD" w:rsidRDefault="000543FD" w:rsidP="00E01812">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לנוכח כל האמור אנו דוחים, כאמור, את הטענות בדבר הגנה מן הצדק ואכיפה בררנית.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p>
    <w:p w:rsidR="000543FD" w:rsidRPr="000543FD" w:rsidRDefault="000543FD" w:rsidP="000543FD">
      <w:pPr>
        <w:spacing w:before="80" w:after="80" w:line="360" w:lineRule="auto"/>
        <w:ind w:right="567"/>
        <w:jc w:val="both"/>
        <w:rPr>
          <w:rFonts w:ascii="David" w:eastAsia="Times New Roman" w:hAnsi="David" w:cs="David"/>
          <w:b/>
          <w:bCs/>
          <w:sz w:val="24"/>
          <w:szCs w:val="24"/>
          <w:u w:val="single"/>
          <w:rtl/>
        </w:rPr>
      </w:pPr>
      <w:r w:rsidRPr="000543FD">
        <w:rPr>
          <w:rFonts w:ascii="David" w:eastAsia="Times New Roman" w:hAnsi="David" w:cs="David"/>
          <w:b/>
          <w:bCs/>
          <w:sz w:val="24"/>
          <w:szCs w:val="24"/>
          <w:u w:val="single"/>
          <w:rtl/>
        </w:rPr>
        <w:t xml:space="preserve">נושאים נוספים שעלו במהלך הדיון </w:t>
      </w:r>
    </w:p>
    <w:p w:rsidR="000543FD" w:rsidRPr="000543FD" w:rsidRDefault="000543FD" w:rsidP="000543FD">
      <w:pPr>
        <w:spacing w:before="80" w:after="80" w:line="360" w:lineRule="auto"/>
        <w:ind w:right="567"/>
        <w:jc w:val="both"/>
        <w:rPr>
          <w:rFonts w:ascii="David" w:eastAsia="Times New Roman" w:hAnsi="David" w:cs="David"/>
          <w:b/>
          <w:bCs/>
          <w:sz w:val="24"/>
          <w:szCs w:val="24"/>
          <w:u w:val="single"/>
          <w:rtl/>
        </w:rPr>
      </w:pPr>
      <w:r w:rsidRPr="000543FD">
        <w:rPr>
          <w:rFonts w:ascii="David" w:eastAsia="Times New Roman" w:hAnsi="David" w:cs="David"/>
          <w:sz w:val="24"/>
          <w:szCs w:val="24"/>
          <w:rtl/>
        </w:rPr>
        <w:t>6</w:t>
      </w:r>
      <w:r w:rsidRPr="000543FD">
        <w:rPr>
          <w:rFonts w:ascii="David" w:eastAsia="Times New Roman" w:hAnsi="David" w:cs="David" w:hint="cs"/>
          <w:sz w:val="24"/>
          <w:szCs w:val="24"/>
          <w:rtl/>
        </w:rPr>
        <w:t>3</w:t>
      </w:r>
      <w:r w:rsidRPr="000543FD">
        <w:rPr>
          <w:rFonts w:ascii="David" w:eastAsia="Times New Roman" w:hAnsi="David" w:cs="David"/>
          <w:sz w:val="24"/>
          <w:szCs w:val="24"/>
          <w:rtl/>
        </w:rPr>
        <w:t>.</w:t>
      </w:r>
      <w:r w:rsidRPr="000543FD">
        <w:rPr>
          <w:rFonts w:ascii="David" w:eastAsia="Times New Roman" w:hAnsi="David" w:cs="David"/>
          <w:sz w:val="24"/>
          <w:szCs w:val="24"/>
          <w:rtl/>
        </w:rPr>
        <w:tab/>
        <w:t xml:space="preserve">בטרם סיום נעיר מספר הערות, ונתייחס למספר נושאים נוספים שעלו במהלך הדיון.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6</w:t>
      </w:r>
      <w:r w:rsidRPr="000543FD">
        <w:rPr>
          <w:rFonts w:ascii="David" w:eastAsia="Times New Roman" w:hAnsi="David" w:cs="David" w:hint="cs"/>
          <w:sz w:val="24"/>
          <w:szCs w:val="24"/>
          <w:rtl/>
        </w:rPr>
        <w:t>4</w:t>
      </w:r>
      <w:r w:rsidRPr="000543FD">
        <w:rPr>
          <w:rFonts w:ascii="David" w:eastAsia="Times New Roman" w:hAnsi="David" w:cs="David"/>
          <w:sz w:val="24"/>
          <w:szCs w:val="24"/>
          <w:rtl/>
        </w:rPr>
        <w:t>.</w:t>
      </w:r>
      <w:r w:rsidRPr="000543FD">
        <w:rPr>
          <w:rFonts w:ascii="David" w:eastAsia="Times New Roman" w:hAnsi="David" w:cs="David"/>
          <w:sz w:val="24"/>
          <w:szCs w:val="24"/>
          <w:rtl/>
        </w:rPr>
        <w:tab/>
        <w:t>הסניגורים טענו כנגד ההחלטה לגבות הודעה במשטרה, ולהביא לעדות, את ד"ר קופיאצקי, שהיה בזמן האירוע מתמחה בשנת ההתמחות הראשונה שלו, ולא להזמין את מנהל המחלקה או רופא בכיר אחר.</w:t>
      </w:r>
      <w:r w:rsidRPr="000543FD">
        <w:rPr>
          <w:rFonts w:ascii="David" w:eastAsia="Times New Roman" w:hAnsi="David" w:cs="David"/>
          <w:color w:val="00B050"/>
          <w:sz w:val="24"/>
          <w:szCs w:val="24"/>
          <w:rtl/>
        </w:rPr>
        <w:t xml:space="preserve"> </w:t>
      </w:r>
      <w:r w:rsidRPr="000543FD">
        <w:rPr>
          <w:rFonts w:ascii="David" w:eastAsia="Times New Roman" w:hAnsi="David" w:cs="David"/>
          <w:sz w:val="24"/>
          <w:szCs w:val="24"/>
          <w:rtl/>
        </w:rPr>
        <w:t xml:space="preserve">לטענה זו התלוותה טענה נוספת, שלא נתמכה בתשתית עובדתית כלשהי, לפיה הרופא </w:t>
      </w:r>
      <w:r w:rsidRPr="000543FD">
        <w:rPr>
          <w:rFonts w:ascii="David" w:eastAsia="Times New Roman" w:hAnsi="David" w:cs="David"/>
          <w:sz w:val="24"/>
          <w:szCs w:val="24"/>
          <w:rtl/>
        </w:rPr>
        <w:lastRenderedPageBreak/>
        <w:t xml:space="preserve">הבכיר שטיפל במתלוננת הוא ערבי, והמשטרה העדיפה לגבות הודעה מרופא יהוד ולא מרופא ערבי. כאמור, עניין זה לא הוכח ואינו אלא ספקולציה בלתי מבוססת.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לגופו של עניין, ד"ר קופיאצקי היה אמנם מתמחה בתחילת התמחותו, אולם הוא עצמו טיפל במתלוננת. מעדותו עלה כי הוא בקיא היטב בעובדות, כמו גם במהותה של הפציעה והטיפול הנדרש במקרים דומים. לפיכך לא מצאנו דופי בהחלטה לגבות ממנו עדות ולהעידו בבית המשפט.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6</w:t>
      </w:r>
      <w:r w:rsidRPr="000543FD">
        <w:rPr>
          <w:rFonts w:ascii="David" w:eastAsia="Times New Roman" w:hAnsi="David" w:cs="David" w:hint="cs"/>
          <w:sz w:val="24"/>
          <w:szCs w:val="24"/>
          <w:rtl/>
        </w:rPr>
        <w:t>5</w:t>
      </w:r>
      <w:r w:rsidRPr="000543FD">
        <w:rPr>
          <w:rFonts w:ascii="David" w:eastAsia="Times New Roman" w:hAnsi="David" w:cs="David"/>
          <w:sz w:val="24"/>
          <w:szCs w:val="24"/>
          <w:rtl/>
        </w:rPr>
        <w:t>.</w:t>
      </w:r>
      <w:r w:rsidRPr="000543FD">
        <w:rPr>
          <w:rFonts w:ascii="David" w:eastAsia="Times New Roman" w:hAnsi="David" w:cs="David"/>
          <w:sz w:val="24"/>
          <w:szCs w:val="24"/>
          <w:rtl/>
        </w:rPr>
        <w:tab/>
        <w:t>אם הסניגורים ביקשו לחלוק על עמדתו, היה באפשרותם להביא עד אחר מטעמם, בין שמדובר ברופא נוסף שהיה מעורב בטיפול במתלוננת עצמה, ובין באמצעות חוות דעת מומחה באשר למהות הפציעה. שני הדברים לא נעשו, ובנסיבות אלו לא מצאנו בסיס לטענה כלשהי בנוגע לעדותו של הרופא ולבחירה בו למסירת הודעה במשטרה ועדות בבית המשפט.</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6</w:t>
      </w:r>
      <w:r w:rsidRPr="000543FD">
        <w:rPr>
          <w:rFonts w:ascii="David" w:eastAsia="Times New Roman" w:hAnsi="David" w:cs="David" w:hint="cs"/>
          <w:sz w:val="24"/>
          <w:szCs w:val="24"/>
          <w:rtl/>
        </w:rPr>
        <w:t>6</w:t>
      </w:r>
      <w:r w:rsidRPr="000543FD">
        <w:rPr>
          <w:rFonts w:ascii="David" w:eastAsia="Times New Roman" w:hAnsi="David" w:cs="David"/>
          <w:sz w:val="24"/>
          <w:szCs w:val="24"/>
          <w:rtl/>
        </w:rPr>
        <w:t>.</w:t>
      </w:r>
      <w:r w:rsidRPr="000543FD">
        <w:rPr>
          <w:rFonts w:ascii="David" w:eastAsia="Times New Roman" w:hAnsi="David" w:cs="David"/>
          <w:sz w:val="24"/>
          <w:szCs w:val="24"/>
          <w:rtl/>
        </w:rPr>
        <w:tab/>
        <w:t>נושא נוסף שלא מצאנו לייחס לו משקל ממשי הוא הראיות בדבר השמעת שירים ואמירות לאומניות על ידי המתלוננת לאחר האירוע, בהמתנה לדיון בארכת מעצר.</w:t>
      </w:r>
    </w:p>
    <w:p w:rsidR="000543FD" w:rsidRPr="000543FD" w:rsidRDefault="000543FD" w:rsidP="000543FD">
      <w:pPr>
        <w:spacing w:before="80" w:after="80" w:line="360" w:lineRule="auto"/>
        <w:ind w:firstLine="720"/>
        <w:jc w:val="both"/>
        <w:rPr>
          <w:rFonts w:ascii="David" w:eastAsia="Times New Roman" w:hAnsi="David" w:cs="David"/>
          <w:color w:val="00B050"/>
          <w:sz w:val="24"/>
          <w:szCs w:val="24"/>
          <w:rtl/>
        </w:rPr>
      </w:pPr>
      <w:r w:rsidRPr="000543FD">
        <w:rPr>
          <w:rFonts w:ascii="David" w:eastAsia="Times New Roman" w:hAnsi="David" w:cs="David"/>
          <w:sz w:val="24"/>
          <w:szCs w:val="24"/>
          <w:rtl/>
        </w:rPr>
        <w:t>אין מחלוקת על כך שבטלפון של הנאשמת לא נמצאו תכנים בעלי אופי לאומני, ולא נטען כי הנאשמת פעלה באופן ספציפי תחת השפעתם של תכנים כאלה. לפיכך, אין משמעות של ממש לשאלה אם ועד כמה היתה הנאשמת מעורבת בשירה של שירים לאומניים, לאחר מעשה, בסיטואציה בה המתינה עם עצירה נוספת בבית המשפט, ככל הנראה לשם הפגת שיעמום או כיוצא בזה.</w:t>
      </w:r>
      <w:r w:rsidRPr="000543FD">
        <w:rPr>
          <w:rFonts w:ascii="David" w:eastAsia="Times New Roman" w:hAnsi="David" w:cs="David"/>
          <w:color w:val="00B050"/>
          <w:sz w:val="24"/>
          <w:szCs w:val="24"/>
          <w:rtl/>
        </w:rPr>
        <w:t xml:space="preserve"> </w:t>
      </w:r>
    </w:p>
    <w:p w:rsidR="000543FD" w:rsidRPr="000543FD" w:rsidRDefault="000543FD" w:rsidP="000543FD">
      <w:pPr>
        <w:spacing w:before="80" w:after="80" w:line="360" w:lineRule="auto"/>
        <w:jc w:val="both"/>
        <w:rPr>
          <w:rFonts w:ascii="David" w:eastAsia="Times New Roman" w:hAnsi="David" w:cs="David"/>
          <w:color w:val="00B050"/>
          <w:sz w:val="24"/>
          <w:szCs w:val="24"/>
          <w:rtl/>
        </w:rPr>
      </w:pPr>
      <w:r w:rsidRPr="000543FD">
        <w:rPr>
          <w:rFonts w:ascii="David" w:eastAsia="Times New Roman" w:hAnsi="David" w:cs="David"/>
          <w:sz w:val="24"/>
          <w:szCs w:val="24"/>
          <w:rtl/>
        </w:rPr>
        <w:t>6</w:t>
      </w:r>
      <w:r w:rsidRPr="000543FD">
        <w:rPr>
          <w:rFonts w:ascii="David" w:eastAsia="Times New Roman" w:hAnsi="David" w:cs="David" w:hint="cs"/>
          <w:sz w:val="24"/>
          <w:szCs w:val="24"/>
          <w:rtl/>
        </w:rPr>
        <w:t>7</w:t>
      </w:r>
      <w:r w:rsidRPr="000543FD">
        <w:rPr>
          <w:rFonts w:ascii="David" w:eastAsia="Times New Roman" w:hAnsi="David" w:cs="David"/>
          <w:color w:val="00B050"/>
          <w:sz w:val="24"/>
          <w:szCs w:val="24"/>
          <w:rtl/>
        </w:rPr>
        <w:t>.</w:t>
      </w:r>
      <w:r w:rsidRPr="000543FD">
        <w:rPr>
          <w:rFonts w:ascii="David" w:eastAsia="Times New Roman" w:hAnsi="David" w:cs="David"/>
          <w:sz w:val="24"/>
          <w:szCs w:val="24"/>
          <w:rtl/>
        </w:rPr>
        <w:tab/>
        <w:t>לא מצאנו צורך להרחיב גם בנוגע לעדויות בני משפחה על מריבות וחיכוכים עם המתלוננת. בהסכמת הצדדים הוגשו הודעות הוריה ואחותה של המתלוננת, מהם עולה כי המתלוננת התעמתה עם אביה שדרש ממנה לחבוש כיסוי ראש, וכן נקלעה לקונפליקטים ובעיות משמעת בבית הספר בנוגע לשימוש בסיגריה אלקטרוני, החזקת מוצרי איפור וטיפוח וכדומה.</w:t>
      </w:r>
      <w:r w:rsidRPr="000543FD">
        <w:rPr>
          <w:rFonts w:ascii="David" w:eastAsia="Times New Roman" w:hAnsi="David" w:cs="David"/>
          <w:color w:val="00B050"/>
          <w:sz w:val="24"/>
          <w:szCs w:val="24"/>
          <w:rtl/>
        </w:rPr>
        <w:t xml:space="preserve"> </w:t>
      </w:r>
    </w:p>
    <w:p w:rsidR="000543FD" w:rsidRPr="000543FD" w:rsidRDefault="000543FD" w:rsidP="000543FD">
      <w:pPr>
        <w:spacing w:before="80" w:after="80" w:line="360" w:lineRule="auto"/>
        <w:ind w:firstLine="720"/>
        <w:jc w:val="both"/>
        <w:rPr>
          <w:rFonts w:ascii="David" w:eastAsia="Times New Roman" w:hAnsi="David" w:cs="David"/>
          <w:color w:val="00B050"/>
          <w:sz w:val="24"/>
          <w:szCs w:val="24"/>
          <w:rtl/>
        </w:rPr>
      </w:pPr>
      <w:r w:rsidRPr="000543FD">
        <w:rPr>
          <w:rFonts w:ascii="David" w:eastAsia="Times New Roman" w:hAnsi="David" w:cs="David"/>
          <w:sz w:val="24"/>
          <w:szCs w:val="24"/>
          <w:rtl/>
        </w:rPr>
        <w:t>אינ</w:t>
      </w:r>
      <w:r w:rsidRPr="000543FD">
        <w:rPr>
          <w:rFonts w:ascii="David" w:eastAsia="Times New Roman" w:hAnsi="David" w:cs="David" w:hint="cs"/>
          <w:sz w:val="24"/>
          <w:szCs w:val="24"/>
          <w:rtl/>
        </w:rPr>
        <w:t xml:space="preserve">נו </w:t>
      </w:r>
      <w:r w:rsidRPr="000543FD">
        <w:rPr>
          <w:rFonts w:ascii="David" w:eastAsia="Times New Roman" w:hAnsi="David" w:cs="David"/>
          <w:sz w:val="24"/>
          <w:szCs w:val="24"/>
          <w:rtl/>
        </w:rPr>
        <w:t>סבורים שיש טעם להעמיק בנושאים אלה. כפי שעלה מהודעות בני המשפחה ומעדות יועצת בית הספר, כל האירועים המתוארים לא חרגו מגדר מריבות וסכסוכים המתקיימים לעיתים קרובות בין בני נוער לבין הוריהם והמסגרות החינוכיות שלהם. היועצת הבהירה בעדותה כי הנאשמת היתה בסך הכל נערה נורמטיבית ואוהבת חיים. וחשוב מכל, הנאשמת עצמה, הן בהודעותיה במשטרה והן בעדותה בבית המשפט, לא תיארה את האירועים כדרמטיים ולא הציגה אותם כמניע למעשיה.</w:t>
      </w:r>
      <w:r w:rsidRPr="000543FD">
        <w:rPr>
          <w:rFonts w:ascii="David" w:eastAsia="Times New Roman" w:hAnsi="David" w:cs="David"/>
          <w:color w:val="00B050"/>
          <w:sz w:val="24"/>
          <w:szCs w:val="24"/>
          <w:rtl/>
        </w:rPr>
        <w:t xml:space="preserve">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6</w:t>
      </w:r>
      <w:r w:rsidRPr="000543FD">
        <w:rPr>
          <w:rFonts w:ascii="David" w:eastAsia="Times New Roman" w:hAnsi="David" w:cs="David" w:hint="cs"/>
          <w:sz w:val="24"/>
          <w:szCs w:val="24"/>
          <w:rtl/>
        </w:rPr>
        <w:t>8</w:t>
      </w:r>
      <w:r w:rsidRPr="000543FD">
        <w:rPr>
          <w:rFonts w:ascii="David" w:eastAsia="Times New Roman" w:hAnsi="David" w:cs="David"/>
          <w:sz w:val="24"/>
          <w:szCs w:val="24"/>
          <w:rtl/>
        </w:rPr>
        <w:t>.</w:t>
      </w:r>
      <w:r w:rsidRPr="000543FD">
        <w:rPr>
          <w:rFonts w:ascii="David" w:eastAsia="Times New Roman" w:hAnsi="David" w:cs="David"/>
          <w:sz w:val="24"/>
          <w:szCs w:val="24"/>
          <w:rtl/>
        </w:rPr>
        <w:tab/>
        <w:t>מעבר לכל האמור נציין את המובן מאליו: גם אילו סברנו שהנאשמת היתה מסוכסכת עם הוריה, או מעורבת בבעיות משמעת רציניות במסגרת בית הספר, לא היה בכך כדי להצדיק ולו במשהו את החלטתה המודעת לפגוע בק</w:t>
      </w:r>
      <w:r w:rsidR="00D3503D">
        <w:rPr>
          <w:rFonts w:ascii="David" w:eastAsia="Times New Roman" w:hAnsi="David" w:cs="David" w:hint="cs"/>
          <w:sz w:val="24"/>
          <w:szCs w:val="24"/>
          <w:rtl/>
        </w:rPr>
        <w:t>ו</w:t>
      </w:r>
      <w:r w:rsidRPr="000543FD">
        <w:rPr>
          <w:rFonts w:ascii="David" w:eastAsia="Times New Roman" w:hAnsi="David" w:cs="David"/>
          <w:sz w:val="24"/>
          <w:szCs w:val="24"/>
          <w:rtl/>
        </w:rPr>
        <w:t xml:space="preserve">רבן תמים, במתלוננת שאינה מעורבת ואינה קשורה כלל לכל אותם קשיים.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hint="cs"/>
          <w:sz w:val="24"/>
          <w:szCs w:val="24"/>
          <w:rtl/>
        </w:rPr>
        <w:t>69</w:t>
      </w:r>
      <w:r w:rsidRPr="000543FD">
        <w:rPr>
          <w:rFonts w:ascii="David" w:eastAsia="Times New Roman" w:hAnsi="David" w:cs="David"/>
          <w:sz w:val="24"/>
          <w:szCs w:val="24"/>
          <w:rtl/>
        </w:rPr>
        <w:t>.</w:t>
      </w:r>
      <w:r w:rsidRPr="000543FD">
        <w:rPr>
          <w:rFonts w:ascii="David" w:eastAsia="Times New Roman" w:hAnsi="David" w:cs="David"/>
          <w:sz w:val="24"/>
          <w:szCs w:val="24"/>
          <w:rtl/>
        </w:rPr>
        <w:tab/>
        <w:t xml:space="preserve">בחקירת המתלוננת ובצפיה בסרטונים עלתה אפשרות שהנאשמת דקרה את המתלוננת או הכתה אותה פעמיים, וב"כ המאשימה טען כי בצילומים נראית תנועה נוספת של הנאשמת. טענה זו אינה מופיעה בכתב האישום, היא לא תוארה על ידי עדים אחרים, המתלוננת לא נחקרה עליה </w:t>
      </w:r>
      <w:r w:rsidRPr="000543FD">
        <w:rPr>
          <w:rFonts w:ascii="David" w:eastAsia="Times New Roman" w:hAnsi="David" w:cs="David"/>
          <w:sz w:val="24"/>
          <w:szCs w:val="24"/>
          <w:rtl/>
        </w:rPr>
        <w:lastRenderedPageBreak/>
        <w:t xml:space="preserve">במשטרה, ולא נטען כי היא עולה מהראיות הפורנזיות. אין, איפוא, תשתית ראייתית ממשית לטענה, גם בסרטונים לא ראינו את הדבר בבירור, ולפיכך לא מצאנו צורך להרחיב את הדיון גם בנושא זה. </w:t>
      </w:r>
    </w:p>
    <w:p w:rsidR="000543FD" w:rsidRPr="000543FD" w:rsidRDefault="000543FD" w:rsidP="000543FD">
      <w:pPr>
        <w:spacing w:before="80" w:after="80" w:line="360" w:lineRule="auto"/>
        <w:jc w:val="both"/>
        <w:rPr>
          <w:rFonts w:ascii="David" w:eastAsia="Times New Roman" w:hAnsi="David" w:cs="David"/>
          <w:b/>
          <w:bCs/>
          <w:sz w:val="24"/>
          <w:szCs w:val="24"/>
          <w:rtl/>
        </w:rPr>
      </w:pPr>
    </w:p>
    <w:p w:rsidR="000543FD" w:rsidRPr="000543FD" w:rsidRDefault="000543FD" w:rsidP="000543FD">
      <w:pPr>
        <w:spacing w:before="80" w:after="80" w:line="360" w:lineRule="auto"/>
        <w:jc w:val="both"/>
        <w:rPr>
          <w:rFonts w:ascii="David" w:eastAsia="Times New Roman" w:hAnsi="David" w:cs="David"/>
          <w:sz w:val="16"/>
          <w:szCs w:val="16"/>
          <w:rtl/>
        </w:rPr>
      </w:pPr>
      <w:r w:rsidRPr="000543FD">
        <w:rPr>
          <w:rFonts w:ascii="David" w:eastAsia="Times New Roman" w:hAnsi="David" w:cs="David"/>
          <w:b/>
          <w:bCs/>
          <w:sz w:val="24"/>
          <w:szCs w:val="24"/>
          <w:rtl/>
        </w:rPr>
        <w:t>7</w:t>
      </w:r>
      <w:r w:rsidRPr="000543FD">
        <w:rPr>
          <w:rFonts w:ascii="David" w:eastAsia="Times New Roman" w:hAnsi="David" w:cs="David" w:hint="cs"/>
          <w:b/>
          <w:bCs/>
          <w:sz w:val="24"/>
          <w:szCs w:val="24"/>
          <w:rtl/>
        </w:rPr>
        <w:t>0</w:t>
      </w:r>
      <w:r w:rsidRPr="000543FD">
        <w:rPr>
          <w:rFonts w:ascii="David" w:eastAsia="Times New Roman" w:hAnsi="David" w:cs="David"/>
          <w:b/>
          <w:bCs/>
          <w:sz w:val="24"/>
          <w:szCs w:val="24"/>
          <w:rtl/>
        </w:rPr>
        <w:t>.</w:t>
      </w:r>
      <w:r w:rsidRPr="000543FD">
        <w:rPr>
          <w:rFonts w:ascii="David" w:eastAsia="Times New Roman" w:hAnsi="David" w:cs="David"/>
          <w:b/>
          <w:bCs/>
          <w:sz w:val="24"/>
          <w:szCs w:val="24"/>
          <w:rtl/>
        </w:rPr>
        <w:tab/>
        <w:t>לאור כל האמור אנו סבורים כי הוכחו כל יסודות העבירות שיוחסו לנאשמת, ואנו קובעים כי הנאשמת עברה את העבירות המיוחסות לה בכתב האישום. בשל היותה של הנאשמת קטינה אנו נמנעים בשלב זה מהרשעתה.</w:t>
      </w:r>
      <w:r w:rsidRPr="000543FD">
        <w:rPr>
          <w:rFonts w:ascii="David" w:eastAsia="Times New Roman" w:hAnsi="David" w:cs="David"/>
          <w:sz w:val="24"/>
          <w:szCs w:val="24"/>
          <w:rtl/>
        </w:rPr>
        <w:t xml:space="preserve">  </w:t>
      </w:r>
    </w:p>
    <w:p w:rsidR="000543FD" w:rsidRPr="000543FD" w:rsidRDefault="000543FD" w:rsidP="000543FD">
      <w:pPr>
        <w:spacing w:after="0" w:line="240" w:lineRule="auto"/>
        <w:jc w:val="center"/>
        <w:rPr>
          <w:rFonts w:ascii="Arial (W1)" w:eastAsia="Times New Roman" w:hAnsi="Arial (W1)" w:cs="David"/>
          <w:sz w:val="24"/>
          <w:szCs w:val="24"/>
          <w:rtl/>
        </w:rPr>
      </w:pPr>
    </w:p>
    <w:tbl>
      <w:tblPr>
        <w:tblStyle w:val="a7"/>
        <w:tblpPr w:leftFromText="180" w:rightFromText="180" w:vertAnchor="page" w:horzAnchor="margin" w:tblpY="507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6"/>
      </w:tblGrid>
      <w:tr w:rsidR="00E01812" w:rsidRPr="000543FD" w:rsidTr="00E01812">
        <w:trPr>
          <w:trHeight w:val="1163"/>
        </w:trPr>
        <w:tc>
          <w:tcPr>
            <w:tcW w:w="2556" w:type="dxa"/>
            <w:tcBorders>
              <w:top w:val="nil"/>
              <w:left w:val="nil"/>
              <w:bottom w:val="single" w:sz="4" w:space="0" w:color="auto"/>
              <w:right w:val="nil"/>
            </w:tcBorders>
            <w:vAlign w:val="center"/>
          </w:tcPr>
          <w:p w:rsidR="00E01812" w:rsidRPr="000543FD" w:rsidRDefault="00E01812" w:rsidP="00E01812">
            <w:pPr>
              <w:spacing w:before="40" w:after="40"/>
              <w:jc w:val="center"/>
              <w:rPr>
                <w:rFonts w:ascii="Courier New" w:hAnsi="Courier New" w:cs="David"/>
                <w:b/>
                <w:bCs/>
                <w:sz w:val="24"/>
                <w:szCs w:val="24"/>
                <w:rtl/>
              </w:rPr>
            </w:pPr>
            <w:r w:rsidRPr="000543FD">
              <w:rPr>
                <w:rFonts w:ascii="Arial (W1)" w:hAnsi="Arial (W1)" w:cs="David"/>
                <w:noProof/>
                <w:sz w:val="24"/>
                <w:szCs w:val="24"/>
              </w:rPr>
              <w:drawing>
                <wp:inline distT="0" distB="0" distL="0" distR="0" wp14:anchorId="5710C7AB" wp14:editId="39C8C94F">
                  <wp:extent cx="965835" cy="782955"/>
                  <wp:effectExtent l="0" t="0" r="5715" b="0"/>
                  <wp:docPr id="1" name="תמונה 1" descr="C:\Users\ShimiG\AppData\Local\Microsoft\Windows\Temporary Internet Files\Content.Word\0597088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08842.t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65835" cy="782955"/>
                          </a:xfrm>
                          <a:prstGeom prst="rect">
                            <a:avLst/>
                          </a:prstGeom>
                          <a:noFill/>
                          <a:ln>
                            <a:noFill/>
                          </a:ln>
                        </pic:spPr>
                      </pic:pic>
                    </a:graphicData>
                  </a:graphic>
                </wp:inline>
              </w:drawing>
            </w:r>
          </w:p>
        </w:tc>
      </w:tr>
      <w:tr w:rsidR="00E01812" w:rsidRPr="000543FD" w:rsidTr="00E01812">
        <w:trPr>
          <w:trHeight w:val="228"/>
        </w:trPr>
        <w:tc>
          <w:tcPr>
            <w:tcW w:w="2556" w:type="dxa"/>
            <w:tcBorders>
              <w:top w:val="single" w:sz="4" w:space="0" w:color="auto"/>
              <w:left w:val="nil"/>
              <w:bottom w:val="nil"/>
              <w:right w:val="nil"/>
            </w:tcBorders>
          </w:tcPr>
          <w:p w:rsidR="00E01812" w:rsidRPr="000543FD" w:rsidRDefault="00E01812" w:rsidP="00E01812">
            <w:pPr>
              <w:keepNext/>
              <w:spacing w:before="40" w:after="40"/>
              <w:jc w:val="center"/>
              <w:outlineLvl w:val="2"/>
              <w:rPr>
                <w:rFonts w:cs="David"/>
                <w:b/>
                <w:bCs/>
                <w:noProof/>
                <w:sz w:val="28"/>
                <w:szCs w:val="24"/>
                <w:rtl/>
                <w:lang w:eastAsia="he-IL"/>
              </w:rPr>
            </w:pPr>
            <w:r w:rsidRPr="000543FD">
              <w:rPr>
                <w:rFonts w:cs="David" w:hint="cs"/>
                <w:b/>
                <w:bCs/>
                <w:noProof/>
                <w:sz w:val="28"/>
                <w:szCs w:val="24"/>
                <w:rtl/>
                <w:lang w:eastAsia="he-IL"/>
              </w:rPr>
              <w:t xml:space="preserve">חגית מאק-קלמנוביץ, </w:t>
            </w:r>
            <w:r w:rsidRPr="000543FD">
              <w:rPr>
                <w:rFonts w:cs="David"/>
                <w:b/>
                <w:bCs/>
                <w:noProof/>
                <w:sz w:val="28"/>
                <w:szCs w:val="24"/>
                <w:rtl/>
                <w:lang w:eastAsia="he-IL"/>
              </w:rPr>
              <w:t>שופטת</w:t>
            </w:r>
          </w:p>
        </w:tc>
      </w:tr>
    </w:tbl>
    <w:p w:rsidR="000543FD" w:rsidRPr="000543FD" w:rsidRDefault="000543FD" w:rsidP="000543FD">
      <w:pPr>
        <w:spacing w:before="80" w:after="80" w:line="360" w:lineRule="auto"/>
        <w:jc w:val="both"/>
        <w:rPr>
          <w:rFonts w:ascii="David" w:eastAsia="Times New Roman" w:hAnsi="David" w:cs="David"/>
          <w:sz w:val="16"/>
          <w:szCs w:val="16"/>
          <w:rtl/>
        </w:rPr>
      </w:pPr>
    </w:p>
    <w:p w:rsidR="000543FD" w:rsidRPr="000543FD" w:rsidRDefault="000543FD" w:rsidP="000543FD">
      <w:pPr>
        <w:spacing w:after="0" w:line="240" w:lineRule="auto"/>
        <w:rPr>
          <w:rFonts w:ascii="David" w:eastAsia="Times New Roman" w:hAnsi="David" w:cs="David"/>
          <w:sz w:val="26"/>
          <w:szCs w:val="26"/>
          <w:rtl/>
        </w:rPr>
      </w:pPr>
    </w:p>
    <w:p w:rsidR="000543FD" w:rsidRPr="000543FD" w:rsidRDefault="000543FD" w:rsidP="000543FD">
      <w:pPr>
        <w:spacing w:before="80" w:after="80" w:line="360" w:lineRule="auto"/>
        <w:jc w:val="both"/>
        <w:rPr>
          <w:rFonts w:ascii="David" w:eastAsia="Times New Roman" w:hAnsi="David" w:cs="David"/>
          <w:sz w:val="16"/>
          <w:szCs w:val="16"/>
        </w:rPr>
      </w:pP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b/>
          <w:bCs/>
          <w:sz w:val="24"/>
          <w:szCs w:val="24"/>
          <w:u w:val="single"/>
          <w:rtl/>
        </w:rPr>
      </w:pPr>
    </w:p>
    <w:p w:rsidR="00E01812" w:rsidRDefault="00E01812" w:rsidP="000543FD">
      <w:pPr>
        <w:spacing w:before="80" w:after="80" w:line="360" w:lineRule="auto"/>
        <w:jc w:val="both"/>
        <w:rPr>
          <w:rFonts w:ascii="David" w:eastAsia="Times New Roman" w:hAnsi="David" w:cs="David"/>
          <w:b/>
          <w:bCs/>
          <w:sz w:val="24"/>
          <w:szCs w:val="24"/>
          <w:u w:val="single"/>
          <w:rtl/>
        </w:rPr>
      </w:pPr>
    </w:p>
    <w:p w:rsidR="000543FD" w:rsidRPr="000543FD" w:rsidRDefault="000543FD" w:rsidP="000543FD">
      <w:pPr>
        <w:spacing w:before="80" w:after="80" w:line="360" w:lineRule="auto"/>
        <w:jc w:val="both"/>
        <w:rPr>
          <w:rFonts w:ascii="David" w:eastAsia="Times New Roman" w:hAnsi="David" w:cs="David"/>
          <w:b/>
          <w:bCs/>
          <w:sz w:val="24"/>
          <w:szCs w:val="24"/>
          <w:u w:val="single"/>
        </w:rPr>
      </w:pPr>
      <w:r w:rsidRPr="000543FD">
        <w:rPr>
          <w:rFonts w:ascii="David" w:eastAsia="Times New Roman" w:hAnsi="David" w:cs="David"/>
          <w:b/>
          <w:bCs/>
          <w:sz w:val="24"/>
          <w:szCs w:val="24"/>
          <w:u w:val="single"/>
          <w:rtl/>
        </w:rPr>
        <w:t xml:space="preserve">השופטת מ' ליפשיץ-פריבס: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עיינתי בחוות הדעת המקיפה של חברתי  השופטת מאק-קלמנוביץ ובהערות חברי השופט כדורי להם אני מצטרפת ואוסיף עליהם דברים קצרים.</w:t>
      </w:r>
    </w:p>
    <w:p w:rsidR="000543FD" w:rsidRPr="000543FD" w:rsidRDefault="00F93D51" w:rsidP="00F93D51">
      <w:pPr>
        <w:spacing w:before="80" w:after="80" w:line="360" w:lineRule="auto"/>
        <w:ind w:firstLine="720"/>
        <w:jc w:val="both"/>
        <w:rPr>
          <w:rFonts w:ascii="David" w:eastAsia="Times New Roman" w:hAnsi="David" w:cs="David"/>
          <w:sz w:val="24"/>
          <w:szCs w:val="24"/>
          <w:rtl/>
        </w:rPr>
      </w:pPr>
      <w:r w:rsidRPr="00F93D51">
        <w:rPr>
          <w:rFonts w:ascii="David" w:eastAsia="Times New Roman" w:hAnsi="David" w:cs="David" w:hint="cs"/>
          <w:sz w:val="24"/>
          <w:szCs w:val="24"/>
          <w:rtl/>
        </w:rPr>
        <w:t>הנאשמת לא עשתה רושם מהימן בעדותה שלא היתה קוהרנטית ולא התיישבה גם לא עם גרסתה בהודעותיה במשטרה שהודתה כי לא היו אמת. לא היה בידה ליישב את גרסתה בפרט, מול התיעוד החזותי בו צפינו, בסרטונים שהוצגו בפני הנאשמת המוכיחים כאלף עדים את מהלך האירוע. סרטונים, שהנאשמת הודתה בפנינו כי הם מתעדים את מהלכיה באירוע, בשונה, מהכחשותיה החוזרות ונשנות לזיהוייה בעת שהללו הוצגו בפניה בחקירתה במשטרה.</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 xml:space="preserve"> </w:t>
      </w:r>
      <w:r w:rsidRPr="000543FD">
        <w:rPr>
          <w:rFonts w:ascii="David" w:eastAsia="Times New Roman" w:hAnsi="David" w:cs="David"/>
          <w:sz w:val="24"/>
          <w:szCs w:val="24"/>
          <w:rtl/>
        </w:rPr>
        <w:tab/>
        <w:t xml:space="preserve">הסרטונים אינם מלמדים על סערת נפש של הנאשמת שהביאה לאירוע הדקירה (כנטען בסיכומי הנאשמת, עמ' 38 לפרוטוקול). כך בהילוכה לתומה ברחוב, עצירתה לצד רכב חונה כדי להביט על עצמה דרך שמשת הרכב, סידור השיער לאחר שהסירה את כיסוי הראש שהיה עליה ובהמשך, הילוכה בנחת מאחורי המתלוננת וילדיה. התנהגות זו לא מתיישבת עם דבריה של המתלוננת כי בצעה את המעשה הואיל והיתה </w:t>
      </w:r>
      <w:r w:rsidRPr="000543FD">
        <w:rPr>
          <w:rFonts w:ascii="David" w:eastAsia="Times New Roman" w:hAnsi="David" w:cs="David"/>
          <w:b/>
          <w:bCs/>
          <w:sz w:val="24"/>
          <w:szCs w:val="24"/>
          <w:rtl/>
        </w:rPr>
        <w:t>"קצת מבולבלת מטושטשת, בגלל זה עשיתי את הדבר הזה</w:t>
      </w:r>
      <w:r w:rsidRPr="000543FD">
        <w:rPr>
          <w:rFonts w:ascii="David" w:eastAsia="Times New Roman" w:hAnsi="David" w:cs="David"/>
          <w:sz w:val="24"/>
          <w:szCs w:val="24"/>
          <w:rtl/>
        </w:rPr>
        <w:t xml:space="preserve">" (עמ' 19 שורות  3-4 ובעמ' 22 שורה 25).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התכנון של מעשה הדקירה עולה מנטילת סכין מטבח עם להב ארוך מביתה עם יציאתה מהבית והכנסתו לתיק גב אותו היא נשאה באירוע הדקירה. לא היה בפני הנאשמת מענה מדוע עשתה כן באומרה: "</w:t>
      </w:r>
      <w:r w:rsidRPr="000543FD">
        <w:rPr>
          <w:rFonts w:ascii="David" w:eastAsia="Times New Roman" w:hAnsi="David" w:cs="David"/>
          <w:b/>
          <w:bCs/>
          <w:sz w:val="24"/>
          <w:szCs w:val="24"/>
          <w:rtl/>
        </w:rPr>
        <w:t xml:space="preserve">רק ככה סתם לקחתי אותה, לא יודעת למה. לא יודעת למה" </w:t>
      </w:r>
      <w:r w:rsidRPr="000543FD">
        <w:rPr>
          <w:rFonts w:ascii="David" w:eastAsia="Times New Roman" w:hAnsi="David" w:cs="David"/>
          <w:sz w:val="24"/>
          <w:szCs w:val="24"/>
          <w:rtl/>
        </w:rPr>
        <w:t xml:space="preserve">(עמ' 20 שורה 2). אין לקבל וליישב את טיעוני הסניגורית בסיכומיה (עמ' 38) לעניין הוצאת הנאשמת את הסכין מהתיק שלא על מנת לדקור. בנימוק לפיו עשתה כן מחשש, שייעשה חיפוש בתיק עם כניסתה לבית הספר.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lastRenderedPageBreak/>
        <w:t>תחילה, אין לכך ביסוס כלשהו בעדות הנאשמת ובהודעותיה. שנית, לא הוכח בראיותיה כי בית הספר מצוי במקום בו בוצע מעשה הדקירה כי אם היא נמלטה אליו בריצה לאחר האירוע. בנוסף, על מה ולמה תוציא את הסכין מהתיק בהיותה ברחוב מקום בו גדול שבעתיים החשש והסיכון שיתגלה דבר נשיאת הסכין. יתירה מכך, העברת הסכין מהתיק לכיס המעיל מלמדת על תכנון של מעשה הדקירה באפשרות לשליפת הסכין במפתיע. ונימצא, כי הנאשמת תכננה את צעדיה להימצאותה מאחורי המתלוננת (כעולה מהסרטון ומעדות הנאשמת עמ' 33) ללא יכולת של המתלוננת להתגונן, עם נעיצת הסכין בגבה.</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מעבר ובנוסף לתכנון האמור המלמד על הכוונה לבצע את המעשה ביצועו, כעולה מהסרטון מלמד גם הוא על הכוונה להמית. לא כאחת מהגרסאות של הנאשמת לפיה הכתה במתלוננת באמצעות הסכין (עמ' 18, 24 ו-33) כי אם הוכח כי היא נעצה את הסכין בגבה של המתלוננת אליו כיוונה הנאשמת (עמ' 36  שורה 2). נעיצת הסכין, גם בדקירה בודדת, יצרה סיכון חיים נוכח מיקום הדקירה בחבלה חודרת חזה. ואין חולק, כי הנאשמת לא "בררה" בינה לבין עצמה עובר לדירה מהו עומק דקירה וחדירה המסכנת חיים (עדות הנאשמת עמ' 42). הדקירה, הותירה את המתלוננת עם הסכין נעוצה בגבה עד הגיעה לבית החולים (עדות ד"ר קופיאצקי  עמ' 14 שורות 1-7).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בנס</w:t>
      </w:r>
      <w:r w:rsidRPr="000543FD">
        <w:rPr>
          <w:rFonts w:ascii="David" w:eastAsia="Times New Roman" w:hAnsi="David" w:cs="David" w:hint="cs"/>
          <w:sz w:val="24"/>
          <w:szCs w:val="24"/>
          <w:rtl/>
        </w:rPr>
        <w:t>י</w:t>
      </w:r>
      <w:r w:rsidRPr="000543FD">
        <w:rPr>
          <w:rFonts w:ascii="David" w:eastAsia="Times New Roman" w:hAnsi="David" w:cs="David"/>
          <w:sz w:val="24"/>
          <w:szCs w:val="24"/>
          <w:rtl/>
        </w:rPr>
        <w:t xml:space="preserve">בות אלו ולפי טיבו של מעשה הדקירה התקיימה "חזקת כוונה" לתוצאה הטבעית של המעשה, על פי מבחן השכל הישר בהתחשב באורך הלהב של הסכין ומיקום הדקירה (ע"פ 481/12 </w:t>
      </w:r>
      <w:r w:rsidRPr="000543FD">
        <w:rPr>
          <w:rFonts w:ascii="David" w:eastAsia="Times New Roman" w:hAnsi="David" w:cs="David"/>
          <w:b/>
          <w:bCs/>
          <w:sz w:val="24"/>
          <w:szCs w:val="24"/>
          <w:rtl/>
        </w:rPr>
        <w:t>פלוני נ' מדינת ישראל</w:t>
      </w:r>
      <w:r w:rsidRPr="000543FD">
        <w:rPr>
          <w:rFonts w:ascii="David" w:eastAsia="Times New Roman" w:hAnsi="David" w:cs="David"/>
          <w:sz w:val="24"/>
          <w:szCs w:val="24"/>
          <w:rtl/>
        </w:rPr>
        <w:t xml:space="preserve"> (30.12.2014)).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לאור כל האמור, התקיים היסוד הנפשי הנדרש לעבירת הרצח ב"כוונה תחילה" בהחלטה להמית ובהכנה והתקיים היסוד הנפשי הנדרש לצורך הרשעה בעבירת ניסיון, משבוצע המעשה במטרה לבצע את העבירה (סעיף 25 לחוק העונשין). מעשי הנאשמת, יצאו מגדר פעולות הכנה בשרשרת פעולותיה  כמתואר בכתב האישום ומטרתם, להביא לביצוע של העבירה המושלמת של רצח (ע"פ 8457/15  </w:t>
      </w:r>
      <w:r w:rsidRPr="000543FD">
        <w:rPr>
          <w:rFonts w:ascii="David" w:eastAsia="Times New Roman" w:hAnsi="David" w:cs="David"/>
          <w:b/>
          <w:bCs/>
          <w:sz w:val="24"/>
          <w:szCs w:val="24"/>
          <w:rtl/>
        </w:rPr>
        <w:t>מדינת ישראל נ' עומר בן גאזי ווזווז</w:t>
      </w:r>
      <w:r w:rsidRPr="000543FD">
        <w:rPr>
          <w:rFonts w:ascii="David" w:eastAsia="Times New Roman" w:hAnsi="David" w:cs="David"/>
          <w:sz w:val="24"/>
          <w:szCs w:val="24"/>
          <w:rtl/>
        </w:rPr>
        <w:t xml:space="preserve">, פסקה 66 (1.11.2018)) והתמזל מזלה של המתלוננת, שהדקירה לא גרמה למותה. זאת, מבלי שהועלתה טענה לקנטור ואין חולק כי המתלוננת או ילדיה לא התנהגו בקנטור כלפי הנאשמת. </w:t>
      </w:r>
    </w:p>
    <w:p w:rsidR="000543FD" w:rsidRPr="000543FD" w:rsidRDefault="000543FD" w:rsidP="000543FD">
      <w:pPr>
        <w:spacing w:before="80" w:after="80" w:line="360" w:lineRule="auto"/>
        <w:ind w:firstLine="720"/>
        <w:jc w:val="both"/>
        <w:rPr>
          <w:rFonts w:ascii="David" w:eastAsia="Times New Roman" w:hAnsi="David" w:cs="David"/>
          <w:sz w:val="24"/>
          <w:szCs w:val="24"/>
          <w:rtl/>
        </w:rPr>
      </w:pPr>
      <w:r w:rsidRPr="000543FD">
        <w:rPr>
          <w:rFonts w:ascii="David" w:eastAsia="Times New Roman" w:hAnsi="David" w:cs="David"/>
          <w:sz w:val="24"/>
          <w:szCs w:val="24"/>
          <w:rtl/>
        </w:rPr>
        <w:t xml:space="preserve">על המניע הלאומני או אידיאולוגי במעשיה של הנאשמת המלמדים על כוונה להרוג, למדנו מבחירת הקורבן, יהודייה שפסעה ברחוב עם ילדיה. מעדות הנאשמת עולה כי היא ידעה היטב כי המתלוננת מתגוררת בשכנות אליה, מול ביתה, מבלי שאמרה כי היא סברה ששכנתה אינה יהודייה מה שמתיישב עם דבריה בעדות הראשית, על סכסוכים "על בתים ואדמה" בשיח ג'ראח ועל תקוותה שהם יזכו בהליכים משפטיים (עמ' 20 שורות 1-4). הלבוש של המתלוננת ובפרט של ילדיה שחבשו כיפה על ראשם מעידים על היותה יהודייה. ניכר מהסרטון כי הנאשמת מתמידה בהליכה ליד המתלוננת עם החזות היהודית. לאור האמור ונוכח מעשה הדקירה, כפי שהורחב בחוות הדעת של חברתי הוכח כי המעשה הוא מעשה טרור בהתאם לסעיף 37 לחוק המאבק בטרור, תשע"ו-2016.  </w:t>
      </w:r>
    </w:p>
    <w:p w:rsidR="000543FD" w:rsidRPr="000543FD" w:rsidRDefault="000543FD" w:rsidP="000543FD">
      <w:pPr>
        <w:spacing w:before="80" w:after="80" w:line="360" w:lineRule="auto"/>
        <w:ind w:firstLine="720"/>
        <w:jc w:val="both"/>
        <w:rPr>
          <w:rFonts w:ascii="Arial (W1)" w:eastAsia="Times New Roman" w:hAnsi="Arial (W1)" w:cs="David"/>
          <w:sz w:val="24"/>
          <w:szCs w:val="24"/>
          <w:rtl/>
        </w:rPr>
      </w:pPr>
      <w:r w:rsidRPr="000543FD">
        <w:rPr>
          <w:rFonts w:ascii="David" w:eastAsia="Times New Roman" w:hAnsi="David" w:cs="David"/>
          <w:sz w:val="24"/>
          <w:szCs w:val="24"/>
          <w:rtl/>
        </w:rPr>
        <w:lastRenderedPageBreak/>
        <w:t xml:space="preserve">סוף דבר, אני מצטרפת לתוצאה אליה הגיעו חברי לקביעת אשמה של הנאשמת בעבירות המיוחסות לה  בכתב האישום.   </w:t>
      </w:r>
    </w:p>
    <w:tbl>
      <w:tblPr>
        <w:tblStyle w:val="a7"/>
        <w:bidiVisual/>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43"/>
      </w:tblGrid>
      <w:tr w:rsidR="000543FD" w:rsidRPr="000543FD" w:rsidTr="008D389B">
        <w:tc>
          <w:tcPr>
            <w:tcW w:w="2543" w:type="dxa"/>
            <w:tcBorders>
              <w:top w:val="nil"/>
              <w:left w:val="nil"/>
              <w:bottom w:val="single" w:sz="4" w:space="0" w:color="auto"/>
              <w:right w:val="nil"/>
            </w:tcBorders>
            <w:vAlign w:val="center"/>
          </w:tcPr>
          <w:p w:rsidR="000543FD" w:rsidRPr="000543FD" w:rsidRDefault="000543FD" w:rsidP="000543FD">
            <w:pPr>
              <w:spacing w:before="40" w:after="40"/>
              <w:jc w:val="center"/>
              <w:rPr>
                <w:rFonts w:ascii="Courier New" w:hAnsi="Courier New" w:cs="David"/>
                <w:b/>
                <w:bCs/>
                <w:sz w:val="24"/>
                <w:szCs w:val="24"/>
                <w:rtl/>
              </w:rPr>
            </w:pPr>
            <w:r w:rsidRPr="000543FD">
              <w:rPr>
                <w:rFonts w:ascii="Arial (W1)" w:hAnsi="Arial (W1)" w:cs="David"/>
                <w:noProof/>
                <w:sz w:val="24"/>
                <w:szCs w:val="24"/>
              </w:rPr>
              <w:drawing>
                <wp:inline distT="0" distB="0" distL="0" distR="0" wp14:anchorId="23DAE7D7" wp14:editId="1FFCE558">
                  <wp:extent cx="1287780" cy="621665"/>
                  <wp:effectExtent l="0" t="0" r="7620" b="6985"/>
                  <wp:docPr id="3" name="תמונה 3" descr="C:\Users\ShimiG\AppData\Local\Microsoft\Windows\Temporary Internet Files\Content.Word\06589347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65893471.t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7780" cy="621665"/>
                          </a:xfrm>
                          <a:prstGeom prst="rect">
                            <a:avLst/>
                          </a:prstGeom>
                          <a:noFill/>
                          <a:ln>
                            <a:noFill/>
                          </a:ln>
                        </pic:spPr>
                      </pic:pic>
                    </a:graphicData>
                  </a:graphic>
                </wp:inline>
              </w:drawing>
            </w:r>
          </w:p>
        </w:tc>
      </w:tr>
      <w:tr w:rsidR="000543FD" w:rsidRPr="000543FD" w:rsidTr="008D389B">
        <w:tc>
          <w:tcPr>
            <w:tcW w:w="2543" w:type="dxa"/>
            <w:tcBorders>
              <w:top w:val="single" w:sz="4" w:space="0" w:color="auto"/>
              <w:left w:val="nil"/>
              <w:bottom w:val="nil"/>
              <w:right w:val="nil"/>
            </w:tcBorders>
          </w:tcPr>
          <w:p w:rsidR="000543FD" w:rsidRPr="000543FD" w:rsidRDefault="000543FD" w:rsidP="000543FD">
            <w:pPr>
              <w:keepNext/>
              <w:spacing w:before="40" w:after="40"/>
              <w:jc w:val="center"/>
              <w:outlineLvl w:val="2"/>
              <w:rPr>
                <w:rFonts w:cs="David"/>
                <w:b/>
                <w:bCs/>
                <w:noProof/>
                <w:sz w:val="26"/>
                <w:szCs w:val="26"/>
                <w:rtl/>
                <w:lang w:eastAsia="he-IL"/>
              </w:rPr>
            </w:pPr>
            <w:r w:rsidRPr="000543FD">
              <w:rPr>
                <w:rFonts w:cs="David" w:hint="cs"/>
                <w:b/>
                <w:bCs/>
                <w:noProof/>
                <w:sz w:val="26"/>
                <w:szCs w:val="26"/>
                <w:rtl/>
                <w:lang w:eastAsia="he-IL"/>
              </w:rPr>
              <w:t>מרים ליפשיץ-פריבס,</w:t>
            </w:r>
          </w:p>
          <w:p w:rsidR="000543FD" w:rsidRPr="000543FD" w:rsidRDefault="000543FD" w:rsidP="000543FD">
            <w:pPr>
              <w:keepNext/>
              <w:spacing w:before="40" w:after="40"/>
              <w:jc w:val="center"/>
              <w:outlineLvl w:val="2"/>
              <w:rPr>
                <w:rFonts w:cs="David"/>
                <w:b/>
                <w:bCs/>
                <w:noProof/>
                <w:sz w:val="26"/>
                <w:szCs w:val="26"/>
                <w:rtl/>
                <w:lang w:eastAsia="he-IL"/>
              </w:rPr>
            </w:pPr>
            <w:r w:rsidRPr="000543FD">
              <w:rPr>
                <w:rFonts w:cs="David" w:hint="cs"/>
                <w:b/>
                <w:bCs/>
                <w:noProof/>
                <w:sz w:val="26"/>
                <w:szCs w:val="26"/>
                <w:rtl/>
                <w:lang w:eastAsia="he-IL"/>
              </w:rPr>
              <w:t>שופטת</w:t>
            </w:r>
          </w:p>
        </w:tc>
      </w:tr>
    </w:tbl>
    <w:p w:rsidR="000543FD" w:rsidRPr="000543FD" w:rsidRDefault="000543FD" w:rsidP="000543FD">
      <w:pPr>
        <w:spacing w:beforeLines="32" w:before="76" w:afterLines="32" w:after="76" w:line="360" w:lineRule="auto"/>
        <w:contextualSpacing/>
        <w:jc w:val="both"/>
        <w:rPr>
          <w:rFonts w:ascii="David" w:eastAsia="Times New Roman" w:hAnsi="David" w:cs="David"/>
          <w:b/>
          <w:bCs/>
          <w:sz w:val="26"/>
          <w:szCs w:val="26"/>
          <w:u w:val="single"/>
          <w:rtl/>
        </w:rPr>
      </w:pPr>
    </w:p>
    <w:p w:rsidR="000543FD" w:rsidRPr="000543FD" w:rsidRDefault="000543FD" w:rsidP="000543FD">
      <w:pPr>
        <w:spacing w:beforeLines="32" w:before="76" w:afterLines="32" w:after="76" w:line="360" w:lineRule="auto"/>
        <w:contextualSpacing/>
        <w:jc w:val="both"/>
        <w:rPr>
          <w:rFonts w:ascii="David" w:eastAsia="Times New Roman" w:hAnsi="David" w:cs="David"/>
          <w:b/>
          <w:bCs/>
          <w:sz w:val="26"/>
          <w:szCs w:val="26"/>
          <w:u w:val="single"/>
          <w:rtl/>
        </w:rPr>
      </w:pPr>
      <w:r w:rsidRPr="000543FD">
        <w:rPr>
          <w:rFonts w:ascii="David" w:eastAsia="Times New Roman" w:hAnsi="David" w:cs="David"/>
          <w:b/>
          <w:bCs/>
          <w:sz w:val="26"/>
          <w:szCs w:val="26"/>
          <w:u w:val="single"/>
          <w:rtl/>
        </w:rPr>
        <w:t>השופט מ' כדורי:</w:t>
      </w:r>
    </w:p>
    <w:p w:rsidR="000543FD" w:rsidRPr="000543FD" w:rsidRDefault="000543FD" w:rsidP="000543FD">
      <w:pPr>
        <w:spacing w:before="80" w:after="80" w:line="360" w:lineRule="auto"/>
        <w:jc w:val="both"/>
        <w:rPr>
          <w:rFonts w:ascii="David" w:eastAsia="Times New Roman" w:hAnsi="David" w:cs="David"/>
          <w:sz w:val="16"/>
          <w:szCs w:val="16"/>
          <w:rtl/>
        </w:rPr>
      </w:pP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אני מצטרף לניתוחה ולמסקנתה של חברתי, כב' השופטת ח' מאק-קלמנוביץ, ומבקש להוסיף מספר הערות לעניין הוכחת יסוד הכוונה להמית.</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1.</w:t>
      </w:r>
      <w:r w:rsidRPr="000543FD">
        <w:rPr>
          <w:rFonts w:ascii="David" w:eastAsia="Times New Roman" w:hAnsi="David" w:cs="David"/>
          <w:sz w:val="24"/>
          <w:szCs w:val="24"/>
          <w:rtl/>
        </w:rPr>
        <w:tab/>
        <w:t>כפי שפירטה חברתי, לצורך הרשעה בעבירה של ניסיון לרצח נדרשת המאשימה להוכיח את שלושת המרכיבים של יסוד ה"כוונה תחילה": החלטה להמית, הכנה והעדר קינטור. כמו כן נדרשת המאשימה להוכיח כי הנאשם עשה את המעשה ב"מטרה לבצע" את העבירה. במקרה זה, עמדה המאשימה בנטל המוטל עליה.</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2.</w:t>
      </w:r>
      <w:r w:rsidRPr="000543FD">
        <w:rPr>
          <w:rFonts w:ascii="David" w:eastAsia="Times New Roman" w:hAnsi="David" w:cs="David"/>
          <w:sz w:val="24"/>
          <w:szCs w:val="24"/>
          <w:rtl/>
        </w:rPr>
        <w:tab/>
        <w:t>נסיבות ביצוע העבירה מלמדות שהנאשמת התכוונה להמית את המתלוננת, אף שמדובר בדקירה אחת באמצעות סכין שלא חדרה לאברים הפנימיים. הפסיקה עמדה על הקושי הכרוך בהצגת ראיות ישירות לצורך הוכחת מחשבתו הסובייקטיבית של אדם, כנדרש על מנת להוכיח את רכיב ההחלטה להמית, שעניינו במתרחש בנבכי נפשו של העבריין. על כן, פותחה בפסיקה חזקה עובדתית-ראייתית, הידועה כ"חזקת הכוונה", לפיה חזקה על אדם כי הוא מתכוון לתוצאות הטבעיות הנובעות ממעשיו. חזקת הכוונה בעבירת הרצח, מבטאת תובנה לפיה "מי שגרם למותו של אחר על-ידי מעשה, המיועד לפי אופיו ולפי מהותו לגרום לתוצאה קטלנית, גם נשא בלבו את הכוונה להביא לתוצאה הטבעית של מעשהו". חזקה זו יפה גם לעבירת הניסיון לרצח, ככל שהמעשה שנעשה, עלול היה, לפי טיבו וטבעו, לגרום לתוצאה הקטלנית. לפיכך, גם בעבירת הניסיון לרצח מוחזק נאשם כמי שקיננה בליבו הכוונה להביא לתוצאה</w:t>
      </w:r>
      <w:r w:rsidRPr="000543FD">
        <w:rPr>
          <w:rFonts w:ascii="David" w:eastAsia="Times New Roman" w:hAnsi="David" w:cs="David"/>
          <w:sz w:val="16"/>
          <w:szCs w:val="16"/>
          <w:rtl/>
        </w:rPr>
        <w:t xml:space="preserve"> </w:t>
      </w:r>
      <w:r w:rsidRPr="000543FD">
        <w:rPr>
          <w:rFonts w:ascii="David" w:eastAsia="Times New Roman" w:hAnsi="David" w:cs="David"/>
          <w:sz w:val="24"/>
          <w:szCs w:val="24"/>
          <w:rtl/>
        </w:rPr>
        <w:t xml:space="preserve">הטבעית של מעשהו. חזקת הכוונה איננה חזקה חלוטה, ולנאשם נתונה האפשרות לסתור אותה, תוך הבאת ראיות או על-ידי מתן הסבר מתקבל על הדעת למעשיו, באופן שיעורר ספק סביר באשר לכוונתו. ואולם, במידה שהנאשם אינו מצליח לעורר ספק סביר בדבר כוונתו, החזקה הופכת לחלוטה, והוא מוחזק כמי שהייתה לו כוונה להביא למותו של המנוח (ע"פ 1474/14 </w:t>
      </w:r>
      <w:r w:rsidRPr="000543FD">
        <w:rPr>
          <w:rFonts w:ascii="David" w:eastAsia="Times New Roman" w:hAnsi="David" w:cs="David"/>
          <w:b/>
          <w:bCs/>
          <w:sz w:val="24"/>
          <w:szCs w:val="24"/>
          <w:rtl/>
        </w:rPr>
        <w:t>פלוני נ' מדינת ישראל</w:t>
      </w:r>
      <w:r w:rsidRPr="000543FD">
        <w:rPr>
          <w:rFonts w:ascii="David" w:eastAsia="Times New Roman" w:hAnsi="David" w:cs="David"/>
          <w:sz w:val="24"/>
          <w:szCs w:val="24"/>
          <w:rtl/>
        </w:rPr>
        <w:t>, 15/12/2015).</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3.</w:t>
      </w:r>
      <w:r w:rsidRPr="000543FD">
        <w:rPr>
          <w:rFonts w:ascii="David" w:eastAsia="Times New Roman" w:hAnsi="David" w:cs="David"/>
          <w:sz w:val="24"/>
          <w:szCs w:val="24"/>
          <w:rtl/>
        </w:rPr>
        <w:tab/>
        <w:t xml:space="preserve">כפי שניתן להבחין בבירור בסרטון המתעד את האירוע, הנאשמת נעצה את הסכין בגבה של המתלוננת לאחר שפתחה בריצה לעברה, הניפה את ידה ופגעה במתלוננת בעוצמה לא מבוטלת, </w:t>
      </w:r>
      <w:r w:rsidRPr="000543FD">
        <w:rPr>
          <w:rFonts w:ascii="David" w:eastAsia="Times New Roman" w:hAnsi="David" w:cs="David"/>
          <w:sz w:val="24"/>
          <w:szCs w:val="24"/>
          <w:rtl/>
        </w:rPr>
        <w:lastRenderedPageBreak/>
        <w:t xml:space="preserve">כתוצאה ממנה המתלוננת נהדפה קדימה. אין ולא יכול להיות ספק כי מעשה מסוג זה עלול היה לגרום למותה של המתלוננת. לכן, מתקיימת בעניינה של הנאשמת חזקת הכוונה האמורה. </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4.</w:t>
      </w:r>
      <w:r w:rsidRPr="000543FD">
        <w:rPr>
          <w:rFonts w:ascii="David" w:eastAsia="Times New Roman" w:hAnsi="David" w:cs="David"/>
          <w:sz w:val="24"/>
          <w:szCs w:val="24"/>
          <w:rtl/>
        </w:rPr>
        <w:tab/>
        <w:t>ניסיונה של הנאשמת לעורר ספק סביר בדבר כוונתה לא צלח. גרסתה הכבושה, שעלתה לראשונה במהלך עדותה, לפיה היא לא ידעה בדיוק מה מתרחש, כיוון שהיתה מטושטשת ומבולבלת, וכי "זו לא היתה אמורה להיות דקירה", אינה אמינה ולא ניתן ליתן לה משקל. גרסה זו גם אינה מתיישבת עם התיעוד החזותי של האירוע שהוצג לפנינו, ממנו עולה כי סמוך לאחר שהמתלוננת הבחינה במתלוננת צועדת ברחוב עם ילדיה היא חבשה כובע על ראשה, שמרה איתם על קשר עין והקפידה לשהות בסמוך אליהם. הנאשמת האטה את קצב הליכתה ככל שהדבר נדרש, הסתובבה לאחור ואף עצרה את הליכתה על מנת לאפשר למתלוננת ולילדיה לחלוף על פניה. סמוך לאחר שהמתלוננת וילדיה חצו את הכביש לכיוון הפוך מכיוון הליכתה של הנאשמת, הנאשמת דלקה בעקבותיהם, דקרה את המתלוננת, סבה על עקבותיה ופתחה במנוסה, במהלכה נשמטו ממנה חפצים או פרטי לבוש. התנהלותה האמורה מלמדת על מודעות מלאה למעשיה, בניגוד לגרסתה בעדותה.</w:t>
      </w: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sz w:val="24"/>
          <w:szCs w:val="24"/>
          <w:rtl/>
        </w:rPr>
        <w:t>5.</w:t>
      </w:r>
      <w:r w:rsidRPr="000543FD">
        <w:rPr>
          <w:rFonts w:ascii="David" w:eastAsia="Times New Roman" w:hAnsi="David" w:cs="David"/>
          <w:sz w:val="24"/>
          <w:szCs w:val="24"/>
          <w:rtl/>
        </w:rPr>
        <w:tab/>
        <w:t>רכיב הכוונה להמית הוכח אפוא היטב על ידי המאשימה. כיוון שכך, וכיוון שיסודות ההכנה והיעדר הקינטור הוכחו היטב, כפי שפירטה חברתי בפסק דינה, לא נותר ספק סביר בדבר התקיימות יסודות עבירת ניסיון הרצח.</w:t>
      </w:r>
    </w:p>
    <w:tbl>
      <w:tblPr>
        <w:tblStyle w:val="a7"/>
        <w:tblpPr w:leftFromText="180" w:rightFromText="180" w:vertAnchor="text" w:horzAnchor="margin" w:tblpY="-6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03"/>
      </w:tblGrid>
      <w:tr w:rsidR="000543FD" w:rsidRPr="000543FD" w:rsidTr="008D389B">
        <w:trPr>
          <w:trHeight w:val="433"/>
        </w:trPr>
        <w:tc>
          <w:tcPr>
            <w:tcW w:w="2203" w:type="dxa"/>
            <w:tcBorders>
              <w:bottom w:val="single" w:sz="4" w:space="0" w:color="auto"/>
            </w:tcBorders>
          </w:tcPr>
          <w:p w:rsidR="000543FD" w:rsidRPr="000543FD" w:rsidRDefault="000543FD" w:rsidP="000543FD">
            <w:pPr>
              <w:spacing w:before="40" w:after="40"/>
              <w:jc w:val="center"/>
              <w:rPr>
                <w:rFonts w:ascii="Arial (W1)" w:hAnsi="Arial (W1)" w:cs="David"/>
                <w:sz w:val="24"/>
                <w:szCs w:val="24"/>
                <w:rtl/>
              </w:rPr>
            </w:pPr>
            <w:r w:rsidRPr="000543FD">
              <w:rPr>
                <w:rFonts w:ascii="Arial (W1)" w:hAnsi="Arial (W1)" w:cs="David"/>
                <w:noProof/>
                <w:sz w:val="24"/>
                <w:szCs w:val="24"/>
              </w:rPr>
              <w:drawing>
                <wp:inline distT="0" distB="0" distL="0" distR="0" wp14:anchorId="43F72A53" wp14:editId="7C1F8552">
                  <wp:extent cx="1015365" cy="231775"/>
                  <wp:effectExtent l="0" t="0" r="0" b="0"/>
                  <wp:docPr id="4" name="תמונה 4" descr="C:\Users\ShimiG\AppData\Local\Microsoft\Windows\Temporary Internet Files\Content.Word\058664749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8664749 (2).t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5365" cy="231775"/>
                          </a:xfrm>
                          <a:prstGeom prst="rect">
                            <a:avLst/>
                          </a:prstGeom>
                          <a:noFill/>
                          <a:ln>
                            <a:noFill/>
                          </a:ln>
                        </pic:spPr>
                      </pic:pic>
                    </a:graphicData>
                  </a:graphic>
                </wp:inline>
              </w:drawing>
            </w:r>
          </w:p>
        </w:tc>
      </w:tr>
      <w:tr w:rsidR="000543FD" w:rsidRPr="000543FD" w:rsidTr="008D389B">
        <w:trPr>
          <w:trHeight w:val="787"/>
        </w:trPr>
        <w:tc>
          <w:tcPr>
            <w:tcW w:w="2203" w:type="dxa"/>
            <w:tcBorders>
              <w:top w:val="single" w:sz="4" w:space="0" w:color="auto"/>
            </w:tcBorders>
          </w:tcPr>
          <w:p w:rsidR="000543FD" w:rsidRPr="000543FD" w:rsidRDefault="000543FD" w:rsidP="000543FD">
            <w:pPr>
              <w:tabs>
                <w:tab w:val="center" w:pos="1039"/>
              </w:tabs>
              <w:spacing w:before="40" w:after="40"/>
              <w:rPr>
                <w:rFonts w:ascii="Arial (W1)" w:hAnsi="Arial (W1)" w:cs="David"/>
                <w:b/>
                <w:bCs/>
                <w:sz w:val="24"/>
                <w:szCs w:val="24"/>
                <w:rtl/>
              </w:rPr>
            </w:pPr>
            <w:r w:rsidRPr="000543FD">
              <w:rPr>
                <w:rFonts w:ascii="Arial (W1)" w:hAnsi="Arial (W1)" w:cs="David" w:hint="cs"/>
                <w:b/>
                <w:bCs/>
                <w:sz w:val="24"/>
                <w:szCs w:val="24"/>
                <w:rtl/>
              </w:rPr>
              <w:t>מרדכי כדורי, שופט</w:t>
            </w:r>
          </w:p>
        </w:tc>
      </w:tr>
    </w:tbl>
    <w:p w:rsidR="000543FD" w:rsidRPr="000543FD" w:rsidRDefault="000543FD" w:rsidP="000543FD">
      <w:pPr>
        <w:spacing w:after="0" w:line="240" w:lineRule="auto"/>
        <w:rPr>
          <w:rFonts w:ascii="Arial (W1)" w:eastAsia="Times New Roman" w:hAnsi="Arial (W1)" w:cs="David"/>
          <w:sz w:val="24"/>
          <w:szCs w:val="24"/>
        </w:rPr>
      </w:pP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sz w:val="24"/>
          <w:szCs w:val="24"/>
          <w:rtl/>
        </w:rPr>
      </w:pPr>
    </w:p>
    <w:p w:rsidR="000543FD" w:rsidRPr="000543FD" w:rsidRDefault="000543FD" w:rsidP="000543FD">
      <w:pPr>
        <w:spacing w:before="80" w:after="80" w:line="360" w:lineRule="auto"/>
        <w:jc w:val="both"/>
        <w:rPr>
          <w:rFonts w:ascii="David" w:eastAsia="Times New Roman" w:hAnsi="David" w:cs="David"/>
          <w:sz w:val="24"/>
          <w:szCs w:val="24"/>
          <w:rtl/>
        </w:rPr>
      </w:pPr>
      <w:r w:rsidRPr="000543FD">
        <w:rPr>
          <w:rFonts w:ascii="David" w:eastAsia="Times New Roman" w:hAnsi="David" w:cs="David" w:hint="cs"/>
          <w:sz w:val="24"/>
          <w:szCs w:val="24"/>
          <w:rtl/>
        </w:rPr>
        <w:t xml:space="preserve">הוחלט פה אחד לקבוע את אשמתה של הנאשמת בעבירות המיוחסות לה. </w:t>
      </w:r>
    </w:p>
    <w:p w:rsidR="000543FD" w:rsidRPr="000543FD" w:rsidRDefault="000543FD" w:rsidP="000543FD">
      <w:pPr>
        <w:spacing w:before="80" w:after="80" w:line="360" w:lineRule="auto"/>
        <w:jc w:val="both"/>
        <w:rPr>
          <w:rFonts w:ascii="David" w:eastAsia="Times New Roman" w:hAnsi="David" w:cs="David"/>
          <w:b/>
          <w:bCs/>
          <w:sz w:val="24"/>
          <w:szCs w:val="24"/>
          <w:rtl/>
        </w:rPr>
      </w:pPr>
      <w:r w:rsidRPr="000543FD">
        <w:rPr>
          <w:rFonts w:ascii="David" w:eastAsia="Times New Roman" w:hAnsi="David" w:cs="David" w:hint="cs"/>
          <w:b/>
          <w:bCs/>
          <w:sz w:val="24"/>
          <w:szCs w:val="24"/>
          <w:rtl/>
        </w:rPr>
        <w:t xml:space="preserve">ניתן היום, כ"ט בניסן תשפ"ג, 20 באפריל 2023, במעמד הצדדים. </w:t>
      </w:r>
    </w:p>
    <w:tbl>
      <w:tblPr>
        <w:tblStyle w:val="a7"/>
        <w:tblpPr w:leftFromText="180" w:rightFromText="180" w:vertAnchor="text" w:horzAnchor="margin" w:tblpXSpec="center" w:tblpY="35"/>
        <w:bidiVisual/>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18"/>
        <w:gridCol w:w="3115"/>
        <w:gridCol w:w="2979"/>
      </w:tblGrid>
      <w:tr w:rsidR="000543FD" w:rsidRPr="000543FD" w:rsidTr="008D389B">
        <w:tc>
          <w:tcPr>
            <w:tcW w:w="3118" w:type="dxa"/>
            <w:hideMark/>
          </w:tcPr>
          <w:sdt>
            <w:sdtPr>
              <w:rPr>
                <w:rFonts w:ascii="Arial (W1)" w:hAnsi="Arial (W1)" w:cs="David"/>
                <w:sz w:val="24"/>
                <w:szCs w:val="24"/>
                <w:rtl/>
              </w:rPr>
              <w:alias w:val="MergeField"/>
              <w:tag w:val="2250"/>
              <w:id w:val="1168907543"/>
            </w:sdtPr>
            <w:sdtEndPr/>
            <w:sdtContent>
              <w:p w:rsidR="000543FD" w:rsidRPr="000543FD" w:rsidRDefault="000543FD" w:rsidP="000543FD">
                <w:pPr>
                  <w:rPr>
                    <w:rFonts w:ascii="Arial (W1)" w:hAnsi="Arial (W1)" w:cs="David"/>
                    <w:sz w:val="24"/>
                    <w:szCs w:val="24"/>
                  </w:rPr>
                </w:pPr>
                <w:r w:rsidRPr="000543FD">
                  <w:rPr>
                    <w:rFonts w:ascii="Arial (W1)" w:hAnsi="Arial (W1)" w:cs="David"/>
                    <w:noProof/>
                    <w:sz w:val="24"/>
                    <w:szCs w:val="24"/>
                  </w:rPr>
                  <w:drawing>
                    <wp:anchor distT="0" distB="0" distL="114300" distR="114300" simplePos="0" relativeHeight="251659264" behindDoc="0" locked="0" layoutInCell="1" allowOverlap="1" wp14:anchorId="604A8C74" wp14:editId="26FB2D1C">
                      <wp:simplePos x="0" y="0"/>
                      <wp:positionH relativeFrom="column">
                        <wp:posOffset>296545</wp:posOffset>
                      </wp:positionH>
                      <wp:positionV relativeFrom="paragraph">
                        <wp:posOffset>154305</wp:posOffset>
                      </wp:positionV>
                      <wp:extent cx="1285875" cy="718820"/>
                      <wp:effectExtent l="0" t="0" r="9525" b="5080"/>
                      <wp:wrapSquare wrapText="bothSides"/>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5875" cy="718820"/>
                              </a:xfrm>
                              <a:prstGeom prst="rect">
                                <a:avLst/>
                              </a:prstGeom>
                              <a:noFill/>
                            </pic:spPr>
                          </pic:pic>
                        </a:graphicData>
                      </a:graphic>
                      <wp14:sizeRelH relativeFrom="page">
                        <wp14:pctWidth>0</wp14:pctWidth>
                      </wp14:sizeRelH>
                      <wp14:sizeRelV relativeFrom="page">
                        <wp14:pctHeight>0</wp14:pctHeight>
                      </wp14:sizeRelV>
                    </wp:anchor>
                  </w:drawing>
                </w:r>
              </w:p>
            </w:sdtContent>
          </w:sdt>
        </w:tc>
        <w:tc>
          <w:tcPr>
            <w:tcW w:w="3115" w:type="dxa"/>
          </w:tcPr>
          <w:p w:rsidR="000543FD" w:rsidRPr="000543FD" w:rsidRDefault="000543FD" w:rsidP="000543FD">
            <w:pPr>
              <w:spacing w:line="360" w:lineRule="auto"/>
              <w:jc w:val="center"/>
              <w:rPr>
                <w:rFonts w:ascii="David" w:hAnsi="David" w:cs="David"/>
                <w:sz w:val="24"/>
                <w:szCs w:val="24"/>
              </w:rPr>
            </w:pPr>
            <w:r w:rsidRPr="000543FD">
              <w:rPr>
                <w:rFonts w:ascii="Arial (W1)" w:hAnsi="Arial (W1)" w:cs="David"/>
                <w:noProof/>
                <w:sz w:val="24"/>
                <w:szCs w:val="24"/>
              </w:rPr>
              <w:drawing>
                <wp:anchor distT="0" distB="0" distL="114300" distR="114300" simplePos="0" relativeHeight="251661312" behindDoc="0" locked="0" layoutInCell="1" allowOverlap="1" wp14:anchorId="0CFE6564" wp14:editId="1684551E">
                  <wp:simplePos x="0" y="0"/>
                  <wp:positionH relativeFrom="column">
                    <wp:posOffset>112395</wp:posOffset>
                  </wp:positionH>
                  <wp:positionV relativeFrom="paragraph">
                    <wp:posOffset>282575</wp:posOffset>
                  </wp:positionV>
                  <wp:extent cx="1743710" cy="608965"/>
                  <wp:effectExtent l="0" t="0" r="8890" b="635"/>
                  <wp:wrapSquare wrapText="bothSides"/>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43710" cy="608965"/>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rPr>
                <w:rFonts w:ascii="Arial (W1)" w:hAnsi="Arial (W1)" w:cs="David"/>
                <w:sz w:val="24"/>
                <w:szCs w:val="24"/>
                <w:rtl/>
              </w:rPr>
              <w:alias w:val="MergeField"/>
              <w:tag w:val="2251"/>
              <w:id w:val="933090273"/>
            </w:sdtPr>
            <w:sdtEndPr/>
            <w:sdtContent>
              <w:p w:rsidR="000543FD" w:rsidRPr="000543FD" w:rsidRDefault="00781A23" w:rsidP="000543FD">
                <w:pPr>
                  <w:rPr>
                    <w:rFonts w:ascii="Arial (W1)" w:hAnsi="Arial (W1)" w:cs="David"/>
                    <w:sz w:val="24"/>
                    <w:szCs w:val="24"/>
                    <w:rtl/>
                  </w:rPr>
                </w:pPr>
              </w:p>
            </w:sdtContent>
          </w:sdt>
        </w:tc>
        <w:tc>
          <w:tcPr>
            <w:tcW w:w="2979" w:type="dxa"/>
            <w:hideMark/>
          </w:tcPr>
          <w:sdt>
            <w:sdtPr>
              <w:rPr>
                <w:rFonts w:ascii="Arial (W1)" w:hAnsi="Arial (W1)" w:cs="David"/>
                <w:sz w:val="24"/>
                <w:szCs w:val="24"/>
                <w:rtl/>
              </w:rPr>
              <w:alias w:val="MergeField"/>
              <w:tag w:val="2252"/>
              <w:id w:val="-955553731"/>
            </w:sdtPr>
            <w:sdtEndPr/>
            <w:sdtContent>
              <w:p w:rsidR="000543FD" w:rsidRPr="000543FD" w:rsidRDefault="000543FD" w:rsidP="000543FD">
                <w:pPr>
                  <w:rPr>
                    <w:rFonts w:ascii="Arial (W1)" w:hAnsi="Arial (W1)" w:cs="David"/>
                    <w:sz w:val="24"/>
                    <w:szCs w:val="24"/>
                  </w:rPr>
                </w:pPr>
                <w:r w:rsidRPr="000543FD">
                  <w:rPr>
                    <w:rFonts w:ascii="Arial (W1)" w:hAnsi="Arial (W1)" w:cs="David"/>
                    <w:noProof/>
                    <w:sz w:val="24"/>
                    <w:szCs w:val="24"/>
                  </w:rPr>
                  <w:drawing>
                    <wp:anchor distT="0" distB="0" distL="114300" distR="114300" simplePos="0" relativeHeight="251660288" behindDoc="0" locked="0" layoutInCell="1" allowOverlap="1" wp14:anchorId="6DC224AE" wp14:editId="4C061DAC">
                      <wp:simplePos x="0" y="0"/>
                      <wp:positionH relativeFrom="column">
                        <wp:posOffset>180340</wp:posOffset>
                      </wp:positionH>
                      <wp:positionV relativeFrom="paragraph">
                        <wp:posOffset>190500</wp:posOffset>
                      </wp:positionV>
                      <wp:extent cx="1133475" cy="600075"/>
                      <wp:effectExtent l="0" t="0" r="9525" b="9525"/>
                      <wp:wrapSquare wrapText="bothSides"/>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33475" cy="600075"/>
                              </a:xfrm>
                              <a:prstGeom prst="rect">
                                <a:avLst/>
                              </a:prstGeom>
                              <a:noFill/>
                            </pic:spPr>
                          </pic:pic>
                        </a:graphicData>
                      </a:graphic>
                      <wp14:sizeRelH relativeFrom="page">
                        <wp14:pctWidth>0</wp14:pctWidth>
                      </wp14:sizeRelH>
                      <wp14:sizeRelV relativeFrom="page">
                        <wp14:pctHeight>0</wp14:pctHeight>
                      </wp14:sizeRelV>
                    </wp:anchor>
                  </w:drawing>
                </w:r>
              </w:p>
            </w:sdtContent>
          </w:sdt>
        </w:tc>
      </w:tr>
      <w:tr w:rsidR="000543FD" w:rsidRPr="000543FD" w:rsidTr="008D389B">
        <w:tc>
          <w:tcPr>
            <w:tcW w:w="3118" w:type="dxa"/>
            <w:hideMark/>
          </w:tcPr>
          <w:p w:rsidR="000543FD" w:rsidRPr="000543FD" w:rsidRDefault="000543FD" w:rsidP="000543FD">
            <w:pPr>
              <w:spacing w:line="360" w:lineRule="auto"/>
              <w:jc w:val="center"/>
              <w:rPr>
                <w:rFonts w:ascii="David" w:hAnsi="David" w:cs="David"/>
                <w:b/>
                <w:bCs/>
                <w:sz w:val="26"/>
                <w:szCs w:val="26"/>
              </w:rPr>
            </w:pPr>
            <w:r w:rsidRPr="000543FD">
              <w:rPr>
                <w:rFonts w:ascii="David" w:hAnsi="David" w:cs="David"/>
                <w:b/>
                <w:bCs/>
                <w:sz w:val="26"/>
                <w:szCs w:val="26"/>
                <w:rtl/>
              </w:rPr>
              <w:t>חגית  מאק-קלמנוביץ, שופטת</w:t>
            </w:r>
          </w:p>
        </w:tc>
        <w:tc>
          <w:tcPr>
            <w:tcW w:w="3115" w:type="dxa"/>
            <w:hideMark/>
          </w:tcPr>
          <w:p w:rsidR="000543FD" w:rsidRPr="000543FD" w:rsidRDefault="000543FD" w:rsidP="000543FD">
            <w:pPr>
              <w:spacing w:line="360" w:lineRule="auto"/>
              <w:jc w:val="center"/>
              <w:rPr>
                <w:rFonts w:ascii="David" w:hAnsi="David" w:cs="David"/>
                <w:b/>
                <w:bCs/>
                <w:sz w:val="26"/>
                <w:szCs w:val="26"/>
                <w:rtl/>
              </w:rPr>
            </w:pPr>
            <w:r w:rsidRPr="000543FD">
              <w:rPr>
                <w:rFonts w:ascii="David" w:hAnsi="David" w:cs="David"/>
                <w:b/>
                <w:bCs/>
                <w:sz w:val="26"/>
                <w:szCs w:val="26"/>
                <w:rtl/>
              </w:rPr>
              <w:t>מרים ליפשיץ פריבס, שופטת</w:t>
            </w:r>
          </w:p>
        </w:tc>
        <w:tc>
          <w:tcPr>
            <w:tcW w:w="2979" w:type="dxa"/>
            <w:hideMark/>
          </w:tcPr>
          <w:p w:rsidR="000543FD" w:rsidRPr="000543FD" w:rsidRDefault="000543FD" w:rsidP="000543FD">
            <w:pPr>
              <w:spacing w:line="360" w:lineRule="auto"/>
              <w:jc w:val="center"/>
              <w:rPr>
                <w:rFonts w:ascii="David" w:hAnsi="David" w:cs="David"/>
                <w:b/>
                <w:bCs/>
                <w:sz w:val="26"/>
                <w:szCs w:val="26"/>
                <w:rtl/>
              </w:rPr>
            </w:pPr>
            <w:r w:rsidRPr="000543FD">
              <w:rPr>
                <w:rFonts w:ascii="David" w:hAnsi="David" w:cs="David"/>
                <w:b/>
                <w:bCs/>
                <w:sz w:val="26"/>
                <w:szCs w:val="26"/>
                <w:rtl/>
              </w:rPr>
              <w:t>מרדכי כדורי, שופט</w:t>
            </w:r>
          </w:p>
        </w:tc>
      </w:tr>
    </w:tbl>
    <w:p w:rsidR="000543FD" w:rsidRPr="000543FD" w:rsidRDefault="000543FD" w:rsidP="000543FD">
      <w:pPr>
        <w:spacing w:after="0" w:line="360" w:lineRule="auto"/>
        <w:jc w:val="both"/>
        <w:rPr>
          <w:rFonts w:ascii="Arial (W1)" w:eastAsia="Times New Roman" w:hAnsi="Arial (W1)" w:cs="David"/>
          <w:sz w:val="24"/>
          <w:szCs w:val="24"/>
          <w:rtl/>
        </w:rPr>
      </w:pPr>
    </w:p>
    <w:p w:rsidR="00231136" w:rsidRDefault="00231136"/>
    <w:sectPr w:rsidR="00231136" w:rsidSect="00330485">
      <w:headerReference w:type="default" r:id="rId20"/>
      <w:footerReference w:type="default" r:id="rId21"/>
      <w:pgSz w:w="11907" w:h="16840" w:code="9"/>
      <w:pgMar w:top="244" w:right="1701" w:bottom="2410" w:left="1701" w:header="187"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A23" w:rsidRDefault="00781A23" w:rsidP="00E01812">
      <w:pPr>
        <w:spacing w:after="0" w:line="240" w:lineRule="auto"/>
      </w:pPr>
      <w:r>
        <w:separator/>
      </w:r>
    </w:p>
  </w:endnote>
  <w:endnote w:type="continuationSeparator" w:id="0">
    <w:p w:rsidR="00781A23" w:rsidRDefault="00781A23" w:rsidP="00E01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E01812">
    <w:pPr>
      <w:pStyle w:val="a5"/>
      <w:jc w:val="center"/>
    </w:pPr>
    <w:r>
      <w:fldChar w:fldCharType="begin"/>
    </w:r>
    <w:r>
      <w:instrText xml:space="preserve"> PAGE </w:instrText>
    </w:r>
    <w:r>
      <w:fldChar w:fldCharType="separate"/>
    </w:r>
    <w:r w:rsidR="006B2FA2">
      <w:rPr>
        <w:noProof/>
        <w:rtl/>
      </w:rPr>
      <w:t>1</w:t>
    </w:r>
    <w:r>
      <w:fldChar w:fldCharType="end"/>
    </w:r>
    <w:r>
      <w:t xml:space="preserve"> </w:t>
    </w:r>
    <w:r>
      <w:rPr>
        <w:rtl/>
      </w:rPr>
      <w:t>מתוך</w:t>
    </w:r>
    <w:r>
      <w:t xml:space="preserve"> </w:t>
    </w:r>
    <w:fldSimple w:instr=" NUMPAGES ">
      <w:r w:rsidR="006B2FA2">
        <w:rPr>
          <w:noProof/>
          <w:rtl/>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A23" w:rsidRDefault="00781A23" w:rsidP="00E01812">
      <w:pPr>
        <w:spacing w:after="0" w:line="240" w:lineRule="auto"/>
      </w:pPr>
      <w:r>
        <w:separator/>
      </w:r>
    </w:p>
  </w:footnote>
  <w:footnote w:type="continuationSeparator" w:id="0">
    <w:p w:rsidR="00781A23" w:rsidRDefault="00781A23" w:rsidP="00E01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E01812">
    <w:pPr>
      <w:pStyle w:val="a3"/>
      <w:jc w:val="center"/>
      <w:rPr>
        <w:rFonts w:cs="FrankRuehl"/>
        <w:sz w:val="28"/>
        <w:szCs w:val="28"/>
        <w:rtl/>
      </w:rPr>
    </w:pPr>
    <w:r>
      <w:rPr>
        <w:rFonts w:cs="FrankRuehl"/>
        <w:noProof/>
        <w:sz w:val="28"/>
        <w:szCs w:val="28"/>
      </w:rPr>
      <w:drawing>
        <wp:inline distT="0" distB="0" distL="0" distR="0" wp14:anchorId="53AE6A34" wp14:editId="652D2587">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9"/>
      <w:gridCol w:w="3596"/>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E01812">
              <w:pPr>
                <w:pStyle w:val="a3"/>
                <w:jc w:val="center"/>
                <w:rPr>
                  <w:rFonts w:ascii="Tahoma" w:hAnsi="Tahoma" w:cs="Tahoma"/>
                  <w:color w:val="000080"/>
                  <w:rtl/>
                </w:rPr>
              </w:pPr>
              <w:r>
                <w:rPr>
                  <w:rFonts w:ascii="Tahoma" w:hAnsi="Tahoma" w:cs="Tahoma"/>
                  <w:b/>
                  <w:bCs/>
                  <w:color w:val="000080"/>
                  <w:rtl/>
                </w:rPr>
                <w:t>בית משפט לנוער בבית המשפט המחוזי בירושלים</w:t>
              </w:r>
            </w:p>
          </w:tc>
        </w:sdtContent>
      </w:sdt>
    </w:tr>
    <w:tr w:rsidR="00870F64">
      <w:trPr>
        <w:trHeight w:val="337"/>
        <w:jc w:val="center"/>
      </w:trPr>
      <w:tc>
        <w:tcPr>
          <w:tcW w:w="5047" w:type="dxa"/>
        </w:tcPr>
        <w:p w:rsidR="00870F64" w:rsidRDefault="00781A23">
          <w:pPr>
            <w:pStyle w:val="a3"/>
            <w:rPr>
              <w:rFonts w:cs="FrankRuehl"/>
              <w:sz w:val="28"/>
              <w:szCs w:val="28"/>
              <w:rtl/>
            </w:rPr>
          </w:pPr>
        </w:p>
      </w:tc>
      <w:tc>
        <w:tcPr>
          <w:tcW w:w="3674" w:type="dxa"/>
        </w:tcPr>
        <w:p w:rsidR="00870F64" w:rsidRPr="00761758" w:rsidRDefault="00E01812">
          <w:pPr>
            <w:pStyle w:val="a3"/>
            <w:jc w:val="right"/>
            <w:rPr>
              <w:rFonts w:ascii="David" w:hAnsi="David"/>
              <w:b/>
              <w:bCs/>
              <w:sz w:val="28"/>
              <w:szCs w:val="28"/>
              <w:rtl/>
            </w:rPr>
          </w:pPr>
          <w:r w:rsidRPr="00761758">
            <w:rPr>
              <w:rFonts w:ascii="David" w:hAnsi="David"/>
              <w:b/>
              <w:bCs/>
              <w:sz w:val="32"/>
              <w:szCs w:val="32"/>
              <w:rtl/>
            </w:rPr>
            <w:t>איסור פרסום</w:t>
          </w:r>
        </w:p>
      </w:tc>
    </w:tr>
    <w:tr w:rsidR="00870F64">
      <w:trPr>
        <w:trHeight w:val="337"/>
        <w:jc w:val="center"/>
      </w:trPr>
      <w:tc>
        <w:tcPr>
          <w:tcW w:w="8721" w:type="dxa"/>
          <w:gridSpan w:val="2"/>
        </w:tcPr>
        <w:p w:rsidR="00870F64" w:rsidRPr="00E01812" w:rsidRDefault="00781A23" w:rsidP="00D20DBF">
          <w:pPr>
            <w:rPr>
              <w:rFonts w:ascii="David" w:hAnsi="David" w:cs="David"/>
              <w:sz w:val="28"/>
              <w:szCs w:val="28"/>
              <w:rtl/>
            </w:rPr>
          </w:pPr>
          <w:sdt>
            <w:sdtPr>
              <w:rPr>
                <w:rFonts w:ascii="David" w:hAnsi="David" w:cs="David"/>
                <w:rtl/>
              </w:rPr>
              <w:alias w:val="1170"/>
              <w:tag w:val="1170"/>
              <w:id w:val="873580151"/>
              <w:text w:multiLine="1"/>
            </w:sdtPr>
            <w:sdtEndPr/>
            <w:sdtContent>
              <w:r w:rsidR="00E01812" w:rsidRPr="00E01812">
                <w:rPr>
                  <w:rFonts w:ascii="David" w:hAnsi="David" w:cs="David"/>
                  <w:sz w:val="28"/>
                  <w:szCs w:val="28"/>
                  <w:rtl/>
                </w:rPr>
                <w:t>תפ"ח</w:t>
              </w:r>
            </w:sdtContent>
          </w:sdt>
          <w:r w:rsidR="00E01812" w:rsidRPr="00E01812">
            <w:rPr>
              <w:rFonts w:ascii="David" w:hAnsi="David" w:cs="David"/>
              <w:sz w:val="28"/>
              <w:szCs w:val="28"/>
              <w:rtl/>
            </w:rPr>
            <w:t xml:space="preserve"> </w:t>
          </w:r>
          <w:sdt>
            <w:sdtPr>
              <w:rPr>
                <w:rFonts w:ascii="David" w:hAnsi="David" w:cs="David"/>
                <w:rtl/>
              </w:rPr>
              <w:alias w:val="1171"/>
              <w:tag w:val="1171"/>
              <w:id w:val="910738904"/>
              <w:text w:multiLine="1"/>
            </w:sdtPr>
            <w:sdtEndPr/>
            <w:sdtContent>
              <w:r w:rsidR="00E01812" w:rsidRPr="00E01812">
                <w:rPr>
                  <w:rFonts w:ascii="David" w:hAnsi="David" w:cs="David"/>
                  <w:sz w:val="28"/>
                  <w:szCs w:val="28"/>
                  <w:rtl/>
                </w:rPr>
                <w:t>43278-12-21</w:t>
              </w:r>
            </w:sdtContent>
          </w:sdt>
          <w:r w:rsidR="00E01812" w:rsidRPr="00E01812">
            <w:rPr>
              <w:rFonts w:ascii="David" w:hAnsi="David" w:cs="David"/>
              <w:sz w:val="28"/>
              <w:szCs w:val="28"/>
              <w:rtl/>
            </w:rPr>
            <w:t xml:space="preserve"> </w:t>
          </w:r>
          <w:sdt>
            <w:sdtPr>
              <w:rPr>
                <w:rFonts w:ascii="David" w:hAnsi="David" w:cs="David"/>
                <w:highlight w:val="black"/>
                <w:rtl/>
              </w:rPr>
              <w:alias w:val="1172"/>
              <w:tag w:val="1172"/>
              <w:id w:val="1749923716"/>
              <w:text w:multiLine="1"/>
            </w:sdtPr>
            <w:sdtEndPr/>
            <w:sdtContent>
              <w:r w:rsidR="00D20DBF" w:rsidRPr="00D20DBF">
                <w:rPr>
                  <w:rFonts w:ascii="David" w:hAnsi="David" w:cs="David" w:hint="cs"/>
                  <w:sz w:val="28"/>
                  <w:szCs w:val="28"/>
                  <w:highlight w:val="black"/>
                  <w:rtl/>
                </w:rPr>
                <w:t>**************************</w:t>
              </w:r>
            </w:sdtContent>
          </w:sdt>
        </w:p>
      </w:tc>
    </w:tr>
  </w:tbl>
  <w:p w:rsidR="00870F64" w:rsidRDefault="00E01812">
    <w:pPr>
      <w:pStyle w:val="a3"/>
    </w:pPr>
    <w:r>
      <w:rPr>
        <w:rFonts w:hint="cs"/>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3FD"/>
    <w:rsid w:val="000543FD"/>
    <w:rsid w:val="00231136"/>
    <w:rsid w:val="00491467"/>
    <w:rsid w:val="00492D45"/>
    <w:rsid w:val="006B2FA2"/>
    <w:rsid w:val="00781A23"/>
    <w:rsid w:val="00856D18"/>
    <w:rsid w:val="00D20DBF"/>
    <w:rsid w:val="00D32F6A"/>
    <w:rsid w:val="00D3503D"/>
    <w:rsid w:val="00DE1453"/>
    <w:rsid w:val="00DF34B6"/>
    <w:rsid w:val="00E01812"/>
    <w:rsid w:val="00F93D5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743D03-1BCB-4266-836D-04292178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543FD"/>
    <w:pPr>
      <w:tabs>
        <w:tab w:val="center" w:pos="4153"/>
        <w:tab w:val="right" w:pos="8306"/>
      </w:tabs>
      <w:spacing w:after="0" w:line="240" w:lineRule="auto"/>
    </w:pPr>
    <w:rPr>
      <w:rFonts w:ascii="Arial (W1)" w:eastAsia="Times New Roman" w:hAnsi="Arial (W1)" w:cs="David"/>
      <w:sz w:val="24"/>
      <w:szCs w:val="24"/>
    </w:rPr>
  </w:style>
  <w:style w:type="character" w:customStyle="1" w:styleId="a4">
    <w:name w:val="כותרת עליונה תו"/>
    <w:basedOn w:val="a0"/>
    <w:link w:val="a3"/>
    <w:rsid w:val="000543FD"/>
    <w:rPr>
      <w:rFonts w:ascii="Arial (W1)" w:eastAsia="Times New Roman" w:hAnsi="Arial (W1)" w:cs="David"/>
      <w:sz w:val="24"/>
      <w:szCs w:val="24"/>
    </w:rPr>
  </w:style>
  <w:style w:type="paragraph" w:styleId="a5">
    <w:name w:val="footer"/>
    <w:basedOn w:val="a"/>
    <w:link w:val="a6"/>
    <w:rsid w:val="000543FD"/>
    <w:pPr>
      <w:tabs>
        <w:tab w:val="center" w:pos="4153"/>
        <w:tab w:val="right" w:pos="8306"/>
      </w:tabs>
      <w:spacing w:after="0" w:line="240" w:lineRule="auto"/>
    </w:pPr>
    <w:rPr>
      <w:rFonts w:ascii="Arial (W1)" w:eastAsia="Times New Roman" w:hAnsi="Arial (W1)" w:cs="David"/>
      <w:sz w:val="24"/>
      <w:szCs w:val="24"/>
    </w:rPr>
  </w:style>
  <w:style w:type="character" w:customStyle="1" w:styleId="a6">
    <w:name w:val="כותרת תחתונה תו"/>
    <w:basedOn w:val="a0"/>
    <w:link w:val="a5"/>
    <w:rsid w:val="000543FD"/>
    <w:rPr>
      <w:rFonts w:ascii="Arial (W1)" w:eastAsia="Times New Roman" w:hAnsi="Arial (W1)" w:cs="David"/>
      <w:sz w:val="24"/>
      <w:szCs w:val="24"/>
    </w:rPr>
  </w:style>
  <w:style w:type="table" w:styleId="a7">
    <w:name w:val="Table Grid"/>
    <w:basedOn w:val="a1"/>
    <w:rsid w:val="000543F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25591764" TargetMode="External"/><Relationship Id="rId13" Type="http://schemas.openxmlformats.org/officeDocument/2006/relationships/hyperlink" Target="http://www.nevo.co.il/case/17943390" TargetMode="External"/><Relationship Id="rId18" Type="http://schemas.openxmlformats.org/officeDocument/2006/relationships/image" Target="media/image5.pn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www.nevo.co.il/law/70301/25" TargetMode="External"/><Relationship Id="rId12" Type="http://schemas.openxmlformats.org/officeDocument/2006/relationships/hyperlink" Target="http://www.nevo.co.il/law/70301" TargetMode="External"/><Relationship Id="rId17"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image" Target="media/image3.tif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www.nevo.co.il/case/8245314" TargetMode="External"/><Relationship Id="rId11" Type="http://schemas.openxmlformats.org/officeDocument/2006/relationships/hyperlink" Target="http://www.nevo.co.il/law/70301/34g" TargetMode="External"/><Relationship Id="rId5" Type="http://schemas.openxmlformats.org/officeDocument/2006/relationships/endnotes" Target="endnotes.xml"/><Relationship Id="rId15" Type="http://schemas.openxmlformats.org/officeDocument/2006/relationships/image" Target="media/image2.tiff"/><Relationship Id="rId23" Type="http://schemas.openxmlformats.org/officeDocument/2006/relationships/theme" Target="theme/theme1.xml"/><Relationship Id="rId10" Type="http://schemas.openxmlformats.org/officeDocument/2006/relationships/hyperlink" Target="http://www.nevo.co.il/case/5686441" TargetMode="External"/><Relationship Id="rId19" Type="http://schemas.openxmlformats.org/officeDocument/2006/relationships/image" Target="media/image6.png"/><Relationship Id="rId4" Type="http://schemas.openxmlformats.org/officeDocument/2006/relationships/footnotes" Target="footnotes.xml"/><Relationship Id="rId9" Type="http://schemas.openxmlformats.org/officeDocument/2006/relationships/hyperlink" Target="http://www.nevo.co.il/case/5686441" TargetMode="External"/><Relationship Id="rId14" Type="http://schemas.openxmlformats.org/officeDocument/2006/relationships/image" Target="media/image1.tif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8221</Words>
  <Characters>41107</Characters>
  <Application>Microsoft Office Word</Application>
  <DocSecurity>0</DocSecurity>
  <Lines>342</Lines>
  <Paragraphs>98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חגית מאק-קלמנוביץ</dc:creator>
  <cp:keywords/>
  <dc:description/>
  <cp:lastModifiedBy>אסתר טטרואשוילי</cp:lastModifiedBy>
  <cp:revision>2</cp:revision>
  <dcterms:created xsi:type="dcterms:W3CDTF">2023-04-20T07:34:00Z</dcterms:created>
  <dcterms:modified xsi:type="dcterms:W3CDTF">2023-04-20T07:34:00Z</dcterms:modified>
</cp:coreProperties>
</file>